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E8F5A" w14:textId="141307D2" w:rsidR="0034798B" w:rsidRPr="0034798B" w:rsidRDefault="0034798B" w:rsidP="0034798B">
      <w:pPr>
        <w:jc w:val="right"/>
      </w:pPr>
      <w:r>
        <w:t>Załącznik nr 7 do Zapytania Ofertowego</w:t>
      </w:r>
    </w:p>
    <w:p w14:paraId="61759C0E" w14:textId="77777777" w:rsidR="0034798B" w:rsidRDefault="0034798B" w:rsidP="0034798B">
      <w:pPr>
        <w:jc w:val="center"/>
        <w:rPr>
          <w:b/>
          <w:bCs/>
        </w:rPr>
      </w:pPr>
    </w:p>
    <w:p w14:paraId="2CF419A7" w14:textId="2A6E3861" w:rsidR="00C82664" w:rsidRPr="00C82664" w:rsidRDefault="00C82664" w:rsidP="0034798B">
      <w:pPr>
        <w:jc w:val="center"/>
        <w:rPr>
          <w:b/>
          <w:bCs/>
        </w:rPr>
      </w:pPr>
      <w:r w:rsidRPr="00C82664">
        <w:rPr>
          <w:b/>
          <w:bCs/>
        </w:rPr>
        <w:t>WZÓR UMOWY NR …/KPO/2025</w:t>
      </w:r>
    </w:p>
    <w:p w14:paraId="2B88E001" w14:textId="77777777" w:rsidR="00C82664" w:rsidRPr="00C82664" w:rsidRDefault="00C82664" w:rsidP="0034798B">
      <w:pPr>
        <w:jc w:val="center"/>
      </w:pPr>
      <w:r w:rsidRPr="00C82664">
        <w:rPr>
          <w:b/>
          <w:bCs/>
        </w:rPr>
        <w:t xml:space="preserve">na dostawę i wdrożenie zintegrowanego systemu </w:t>
      </w:r>
      <w:proofErr w:type="spellStart"/>
      <w:r w:rsidRPr="00C82664">
        <w:rPr>
          <w:b/>
          <w:bCs/>
        </w:rPr>
        <w:t>cyberbezpieczeństwa</w:t>
      </w:r>
      <w:proofErr w:type="spellEnd"/>
      <w:r w:rsidRPr="00C82664">
        <w:rPr>
          <w:b/>
          <w:bCs/>
        </w:rPr>
        <w:t xml:space="preserve"> (SZBI, SOC, Edukacja)</w:t>
      </w:r>
    </w:p>
    <w:p w14:paraId="3D065304" w14:textId="77777777" w:rsidR="00C82664" w:rsidRPr="00C82664" w:rsidRDefault="00C82664" w:rsidP="00C82664">
      <w:r w:rsidRPr="00C82664">
        <w:t>zawarta w dniu ………………………… r. w Katowicach, pomiędzy:</w:t>
      </w:r>
    </w:p>
    <w:p w14:paraId="36AB9353" w14:textId="77777777" w:rsidR="00C82664" w:rsidRPr="00C82664" w:rsidRDefault="00C82664" w:rsidP="00C82664">
      <w:r w:rsidRPr="00C82664">
        <w:rPr>
          <w:b/>
          <w:bCs/>
        </w:rPr>
        <w:t>Bonifraterskim Centrum Medycznym sp. z o.o.</w:t>
      </w:r>
      <w:r w:rsidRPr="00C82664">
        <w:t> z siedzibą we Wrocławiu (50-417), przy ul. gen. Romualda Traugutta 57/59, wpisaną do Rejestru Przedsiębiorców Krajowego Rejestru Sądowego prowadzonego przez Sąd Rejonowy dla Wrocławia-Fabrycznej we Wrocławiu, VI Wydział Gospodarczy KRS, pod numerem KRS: 0000373760, NIP: 8971769637, REGON: 021430939, o kapitale zakładowym w wysokości: ………………………… PLN, działającą w imieniu i na rzecz: </w:t>
      </w:r>
      <w:r w:rsidRPr="00C82664">
        <w:rPr>
          <w:b/>
          <w:bCs/>
        </w:rPr>
        <w:t>Szpitala Zakonu Bonifratrów pw. Aniołów Stróżów w Katowicach</w:t>
      </w:r>
      <w:r w:rsidRPr="00C82664">
        <w:t>, reprezentowaną przez:</w:t>
      </w:r>
    </w:p>
    <w:p w14:paraId="6F3FACF1" w14:textId="77777777" w:rsidR="00C82664" w:rsidRPr="00C82664" w:rsidRDefault="00C82664" w:rsidP="00C82664">
      <w:pPr>
        <w:numPr>
          <w:ilvl w:val="0"/>
          <w:numId w:val="38"/>
        </w:numPr>
      </w:pPr>
      <w:r w:rsidRPr="00C82664">
        <w:t>………………………………………………………… – …………………………………………</w:t>
      </w:r>
    </w:p>
    <w:p w14:paraId="78DA98ED" w14:textId="77777777" w:rsidR="00C82664" w:rsidRPr="00C82664" w:rsidRDefault="00C82664" w:rsidP="00C82664">
      <w:pPr>
        <w:numPr>
          <w:ilvl w:val="0"/>
          <w:numId w:val="38"/>
        </w:numPr>
      </w:pPr>
      <w:r w:rsidRPr="00C82664">
        <w:t>………………………………………………………… – ………………………………………… zwaną dalej </w:t>
      </w:r>
      <w:r w:rsidRPr="00C82664">
        <w:rPr>
          <w:b/>
          <w:bCs/>
        </w:rPr>
        <w:t>„Zamawiającym”</w:t>
      </w:r>
      <w:r w:rsidRPr="00C82664">
        <w:t>,</w:t>
      </w:r>
    </w:p>
    <w:p w14:paraId="7529B434" w14:textId="77777777" w:rsidR="00C82664" w:rsidRPr="00C82664" w:rsidRDefault="00C82664" w:rsidP="00C82664">
      <w:r w:rsidRPr="00C82664">
        <w:t>a</w:t>
      </w:r>
    </w:p>
    <w:p w14:paraId="5BF335AF" w14:textId="77777777" w:rsidR="00C82664" w:rsidRPr="00C82664" w:rsidRDefault="00C82664" w:rsidP="00C82664">
      <w:r w:rsidRPr="00C82664">
        <w:t>**** z siedzibą w ………………………, przy ul. ………………………, wpisaną do Rejestru Przedsiębiorców Krajowego Rejestru Sądowego / Centralnej Ewidencji i Informacji o Działalności Gospodarczej pod numerem: ………………………, REGON: ………………………, o kapitale zakładowym w wysokości: ……………………… PLN, reprezentowaną przez:</w:t>
      </w:r>
    </w:p>
    <w:p w14:paraId="1C5F7216" w14:textId="77777777" w:rsidR="00C82664" w:rsidRPr="00C82664" w:rsidRDefault="00C82664" w:rsidP="00C82664">
      <w:pPr>
        <w:numPr>
          <w:ilvl w:val="0"/>
          <w:numId w:val="39"/>
        </w:numPr>
      </w:pPr>
      <w:r w:rsidRPr="00C82664">
        <w:t>………………………………………………………… – ………………………………………… zwaną dalej </w:t>
      </w:r>
      <w:r w:rsidRPr="00C82664">
        <w:rPr>
          <w:b/>
          <w:bCs/>
        </w:rPr>
        <w:t>„Wykonawcą”</w:t>
      </w:r>
      <w:r w:rsidRPr="00C82664">
        <w:t>,</w:t>
      </w:r>
    </w:p>
    <w:p w14:paraId="64F96822" w14:textId="77777777" w:rsidR="00E74ED5" w:rsidRDefault="00E74ED5" w:rsidP="00E74ED5">
      <w:pPr>
        <w:jc w:val="both"/>
      </w:pPr>
      <w:r>
        <w:t>* gdy Wykonawcą jest osoba fizyczna prowadząca działalność gospodarczą:</w:t>
      </w:r>
    </w:p>
    <w:p w14:paraId="4F1CD1E8" w14:textId="77777777" w:rsidR="00E74ED5" w:rsidRDefault="00E74ED5" w:rsidP="00E74ED5">
      <w:pPr>
        <w:jc w:val="both"/>
      </w:pPr>
      <w:r>
        <w:t xml:space="preserve">Panem/Panią ........................., zamieszkałym/ą w ..............………. (kod pocztowy), przy ulicy .........................., prowadzącym/ą działalność gospodarczą pod firmą .......................................,  adres wykonywania działalności gospodarczej: …………………………….., na podstawie wpisu do Centralnej Ewidencji i Informacji o Działalności Gospodarczej RP, aktualny na dzień zawarcia umowy wydruk z CEIDG stanowi załącznik nr 3, NIP: ................................., REGON: ………………….., zwanym/ą dalej „Wykonawcą”, </w:t>
      </w:r>
    </w:p>
    <w:p w14:paraId="1FAD8281" w14:textId="77777777" w:rsidR="00E74ED5" w:rsidRDefault="00E74ED5" w:rsidP="00E74ED5">
      <w:pPr>
        <w:jc w:val="both"/>
      </w:pPr>
      <w:r>
        <w:t>* gdy Wykonawcą jest spółka cywilna:</w:t>
      </w:r>
    </w:p>
    <w:p w14:paraId="5E7464CE" w14:textId="77777777" w:rsidR="00E74ED5" w:rsidRDefault="00E74ED5" w:rsidP="00E74ED5">
      <w:pPr>
        <w:jc w:val="both"/>
      </w:pPr>
      <w:r>
        <w:t xml:space="preserve">Panem/Panią .................................., zamieszkałym/ą w ..............………. (kod pocztowy), przy ulicy ....................................., prowadzącym/ą działalność gospodarczą pod firmą ......................................., na podstawie wpisu do Centralnej Ewidencji i Informacji o Działalności Gospodarczej RP, aktualny na dzień zawarcia umowy wydruk z CEIDG stanowi załącznik nr 3, PESEL: ........................, NIP: ..........................., REGON: ………………….., </w:t>
      </w:r>
    </w:p>
    <w:p w14:paraId="324C19CA" w14:textId="77777777" w:rsidR="00E74ED5" w:rsidRDefault="00E74ED5" w:rsidP="00E74ED5">
      <w:pPr>
        <w:jc w:val="both"/>
      </w:pPr>
      <w:r>
        <w:t xml:space="preserve">Panem/Panią ..................................., zamieszkałym/ą w ..............………. (kod pocztowy), przy ulicy ................................., prowadzącym/ą działalność gospodarczą pod firmą ......................................., na podstawie wpisu do Centralnej Ewidencji i Informacji o </w:t>
      </w:r>
      <w:r>
        <w:lastRenderedPageBreak/>
        <w:t xml:space="preserve">Działalności Gospodarczej RP, aktualny na dzień zawarcia umowy wydruk z CEIDG stanowi załącznik nr 3, NIP: .............................., REGON: ………………….., </w:t>
      </w:r>
    </w:p>
    <w:p w14:paraId="2C8623E4" w14:textId="77777777" w:rsidR="00E74ED5" w:rsidRDefault="00E74ED5" w:rsidP="00E74ED5">
      <w:pPr>
        <w:jc w:val="both"/>
      </w:pPr>
      <w:r>
        <w:t>(…)</w:t>
      </w:r>
    </w:p>
    <w:p w14:paraId="08AA21F9" w14:textId="311B9C93" w:rsidR="00E74ED5" w:rsidRDefault="00E74ED5" w:rsidP="00E74ED5">
      <w:pPr>
        <w:jc w:val="both"/>
      </w:pPr>
      <w:r>
        <w:t>prowadzącymi wspólnie działalność gospodarczą w formie spółki cywilnej pod nazwą ………………, na podstawie umowy z dnia ………….………., NIP: ………….………., REGON: …………………......, reprezentowanymi przez ……………….…………, zwanymi dalej „Wykonawcą”,</w:t>
      </w:r>
    </w:p>
    <w:p w14:paraId="335221A8" w14:textId="77777777" w:rsidR="00E74ED5" w:rsidRDefault="00E74ED5" w:rsidP="00C82664"/>
    <w:p w14:paraId="14A884F8" w14:textId="70DEEDB5" w:rsidR="00C82664" w:rsidRPr="00C82664" w:rsidRDefault="00C82664" w:rsidP="00C82664">
      <w:r w:rsidRPr="00C82664">
        <w:t>zwanymi dalej łącznie </w:t>
      </w:r>
      <w:r w:rsidRPr="00C82664">
        <w:rPr>
          <w:b/>
          <w:bCs/>
        </w:rPr>
        <w:t>„Stronami”</w:t>
      </w:r>
      <w:r w:rsidRPr="00C82664">
        <w:t>, a każda z osobna </w:t>
      </w:r>
      <w:r w:rsidRPr="00C82664">
        <w:rPr>
          <w:b/>
          <w:bCs/>
        </w:rPr>
        <w:t>„Stroną”</w:t>
      </w:r>
      <w:r w:rsidRPr="00C82664">
        <w:t>.</w:t>
      </w:r>
    </w:p>
    <w:p w14:paraId="2001E2CE" w14:textId="77777777" w:rsidR="00C82664" w:rsidRPr="00C82664" w:rsidRDefault="00C82664" w:rsidP="0034798B">
      <w:pPr>
        <w:jc w:val="center"/>
        <w:rPr>
          <w:b/>
          <w:bCs/>
        </w:rPr>
      </w:pPr>
      <w:r w:rsidRPr="00C82664">
        <w:rPr>
          <w:b/>
          <w:bCs/>
        </w:rPr>
        <w:t>§ 1. DEFINICJE I INTERPRETACJA</w:t>
      </w:r>
    </w:p>
    <w:p w14:paraId="0366C1F8" w14:textId="77777777" w:rsidR="00C82664" w:rsidRPr="00C82664" w:rsidRDefault="00C82664" w:rsidP="00C82664">
      <w:pPr>
        <w:numPr>
          <w:ilvl w:val="0"/>
          <w:numId w:val="40"/>
        </w:numPr>
      </w:pPr>
      <w:r w:rsidRPr="00C82664">
        <w:t>Użyte w Umowie pojęcia oznaczają:</w:t>
      </w:r>
    </w:p>
    <w:p w14:paraId="182C055D" w14:textId="77777777" w:rsidR="00C82664" w:rsidRPr="00C82664" w:rsidRDefault="00C82664" w:rsidP="00602625">
      <w:pPr>
        <w:numPr>
          <w:ilvl w:val="1"/>
          <w:numId w:val="40"/>
        </w:numPr>
        <w:jc w:val="both"/>
      </w:pPr>
      <w:r w:rsidRPr="00C82664">
        <w:rPr>
          <w:b/>
          <w:bCs/>
        </w:rPr>
        <w:t>Dni Robocze</w:t>
      </w:r>
      <w:r w:rsidRPr="00C82664">
        <w:t> – dni od poniedziałku do piątku, z wyłączeniem dni ustawowo wolnych od pracy w Rzeczypospolitej Polskiej, w godzinach 8:00 – 16:00.</w:t>
      </w:r>
    </w:p>
    <w:p w14:paraId="6BD67216" w14:textId="77777777" w:rsidR="00C82664" w:rsidRPr="00C82664" w:rsidRDefault="00C82664" w:rsidP="00602625">
      <w:pPr>
        <w:numPr>
          <w:ilvl w:val="1"/>
          <w:numId w:val="40"/>
        </w:numPr>
        <w:jc w:val="both"/>
      </w:pPr>
      <w:r w:rsidRPr="00C82664">
        <w:rPr>
          <w:b/>
          <w:bCs/>
        </w:rPr>
        <w:t xml:space="preserve">DNSH (Do No </w:t>
      </w:r>
      <w:proofErr w:type="spellStart"/>
      <w:r w:rsidRPr="00C82664">
        <w:rPr>
          <w:b/>
          <w:bCs/>
        </w:rPr>
        <w:t>Significant</w:t>
      </w:r>
      <w:proofErr w:type="spellEnd"/>
      <w:r w:rsidRPr="00C82664">
        <w:rPr>
          <w:b/>
          <w:bCs/>
        </w:rPr>
        <w:t xml:space="preserve"> </w:t>
      </w:r>
      <w:proofErr w:type="spellStart"/>
      <w:r w:rsidRPr="00C82664">
        <w:rPr>
          <w:b/>
          <w:bCs/>
        </w:rPr>
        <w:t>Harm</w:t>
      </w:r>
      <w:proofErr w:type="spellEnd"/>
      <w:r w:rsidRPr="00C82664">
        <w:rPr>
          <w:b/>
          <w:bCs/>
        </w:rPr>
        <w:t>)</w:t>
      </w:r>
      <w:r w:rsidRPr="00C82664">
        <w:t> – zasada „nie czyń poważnych szkód” w rozumieniu art. 17 Rozporządzenia Parlamentu Europejskiego i Rady (UE) 2020/852.</w:t>
      </w:r>
    </w:p>
    <w:p w14:paraId="1CE3A3C4" w14:textId="77777777" w:rsidR="00C82664" w:rsidRPr="00C82664" w:rsidRDefault="00C82664" w:rsidP="00602625">
      <w:pPr>
        <w:numPr>
          <w:ilvl w:val="1"/>
          <w:numId w:val="40"/>
        </w:numPr>
        <w:jc w:val="both"/>
      </w:pPr>
      <w:r w:rsidRPr="00C82664">
        <w:rPr>
          <w:b/>
          <w:bCs/>
        </w:rPr>
        <w:t>Dokumentacja Wdrożeniowa</w:t>
      </w:r>
      <w:r w:rsidRPr="00C82664">
        <w:t> – wszelkie dokumenty, projekty, raporty, polityki (w tym SZBI) i procedury wytworzone przez Wykonawcę w ramach realizacji Umowy.</w:t>
      </w:r>
    </w:p>
    <w:p w14:paraId="640E4DB9" w14:textId="77777777" w:rsidR="00C82664" w:rsidRPr="00C82664" w:rsidRDefault="00C82664" w:rsidP="00602625">
      <w:pPr>
        <w:numPr>
          <w:ilvl w:val="1"/>
          <w:numId w:val="40"/>
        </w:numPr>
        <w:jc w:val="both"/>
      </w:pPr>
      <w:r w:rsidRPr="00C82664">
        <w:rPr>
          <w:b/>
          <w:bCs/>
        </w:rPr>
        <w:t>Incydent Krytyczny (P1)</w:t>
      </w:r>
      <w:r w:rsidRPr="00C82664">
        <w:t> – zdarzenie bezpieczeństwa powodujące niedostępność kluczowych systemów teleinformatycznych Zamawiającego, wyciek danych wrażliwych lub bezpośrednie zagrożenie dla bezpieczeństwa pacjentów, wymagające natychmiastowej reakcji zgodnie z SLA.</w:t>
      </w:r>
    </w:p>
    <w:p w14:paraId="13C8A2E7" w14:textId="77777777" w:rsidR="00C82664" w:rsidRPr="00C82664" w:rsidRDefault="00C82664" w:rsidP="00C82664">
      <w:pPr>
        <w:numPr>
          <w:ilvl w:val="1"/>
          <w:numId w:val="40"/>
        </w:numPr>
      </w:pPr>
      <w:r w:rsidRPr="00C82664">
        <w:rPr>
          <w:b/>
          <w:bCs/>
        </w:rPr>
        <w:t>KPO</w:t>
      </w:r>
      <w:r w:rsidRPr="00C82664">
        <w:t> – Krajowy Plan Odbudowy i Zwiększania Odporności.</w:t>
      </w:r>
    </w:p>
    <w:p w14:paraId="131E3297" w14:textId="77777777" w:rsidR="00C82664" w:rsidRPr="00C82664" w:rsidRDefault="00C82664" w:rsidP="00602625">
      <w:pPr>
        <w:numPr>
          <w:ilvl w:val="1"/>
          <w:numId w:val="40"/>
        </w:numPr>
        <w:jc w:val="both"/>
      </w:pPr>
      <w:r w:rsidRPr="00C82664">
        <w:rPr>
          <w:b/>
          <w:bCs/>
        </w:rPr>
        <w:t>Okres Gwarancji Ciągłości (Okres Utrzymania)</w:t>
      </w:r>
      <w:r w:rsidRPr="00C82664">
        <w:t xml:space="preserve"> – okres 36 miesięcy liczony od dnia Odbioru Końcowego danej Części zamówienia, w którym Wykonawca zobowiązany jest do zapewnienia aktywności licencji, świadczenia usługi monitorowania SOC, pełnienia funkcji Security </w:t>
      </w:r>
      <w:proofErr w:type="spellStart"/>
      <w:r w:rsidRPr="00C82664">
        <w:t>Officera</w:t>
      </w:r>
      <w:proofErr w:type="spellEnd"/>
      <w:r w:rsidRPr="00C82664">
        <w:t xml:space="preserve"> oraz utrzymania dostępności platformy e-learningowej.</w:t>
      </w:r>
    </w:p>
    <w:p w14:paraId="088786F4" w14:textId="77777777" w:rsidR="00C82664" w:rsidRPr="00C82664" w:rsidRDefault="00C82664" w:rsidP="00602625">
      <w:pPr>
        <w:numPr>
          <w:ilvl w:val="1"/>
          <w:numId w:val="40"/>
        </w:numPr>
        <w:jc w:val="both"/>
      </w:pPr>
      <w:r w:rsidRPr="00C82664">
        <w:rPr>
          <w:b/>
          <w:bCs/>
        </w:rPr>
        <w:t>OPZ</w:t>
      </w:r>
      <w:r w:rsidRPr="00C82664">
        <w:t> – Szczegółowy Opis Przedmiotu Zamówienia, stanowiący Załącznik nr 1 do Umowy.</w:t>
      </w:r>
    </w:p>
    <w:p w14:paraId="5250E5AD" w14:textId="77777777" w:rsidR="00C82664" w:rsidRPr="00C82664" w:rsidRDefault="00C82664" w:rsidP="00602625">
      <w:pPr>
        <w:numPr>
          <w:ilvl w:val="1"/>
          <w:numId w:val="40"/>
        </w:numPr>
        <w:jc w:val="both"/>
      </w:pPr>
      <w:r w:rsidRPr="00C82664">
        <w:rPr>
          <w:b/>
          <w:bCs/>
        </w:rPr>
        <w:t>Prawo Opcji</w:t>
      </w:r>
      <w:r w:rsidRPr="00C82664">
        <w:t> – uprawnienie Zamawiającego do jednostronnego rozszerzenia zakresu przedmiotowego Umowy o elementy wskazane w OPZ (dotyczące jednostek powiązanych), na warunkach określonych w § 3 Umowy.</w:t>
      </w:r>
    </w:p>
    <w:p w14:paraId="0488100B" w14:textId="77777777" w:rsidR="00C82664" w:rsidRPr="00C82664" w:rsidRDefault="00C82664" w:rsidP="00602625">
      <w:pPr>
        <w:numPr>
          <w:ilvl w:val="1"/>
          <w:numId w:val="40"/>
        </w:numPr>
        <w:jc w:val="both"/>
      </w:pPr>
      <w:r w:rsidRPr="00C82664">
        <w:rPr>
          <w:b/>
          <w:bCs/>
        </w:rPr>
        <w:t>Siła Wyższa</w:t>
      </w:r>
      <w:r w:rsidRPr="00C82664">
        <w:t> – zdarzenie zewnętrzne, niemożliwe do przewidzenia i zapobieżenia, które wystąpiło po zawarciu Umowy (np. klęski żywiołowe, wojna, pandemie), mające bezpośredni wpływ na realizację Umowy.</w:t>
      </w:r>
    </w:p>
    <w:p w14:paraId="72DC2293" w14:textId="77777777" w:rsidR="00C82664" w:rsidRPr="00C82664" w:rsidRDefault="00C82664" w:rsidP="00602625">
      <w:pPr>
        <w:numPr>
          <w:ilvl w:val="1"/>
          <w:numId w:val="40"/>
        </w:numPr>
        <w:jc w:val="both"/>
      </w:pPr>
      <w:r w:rsidRPr="00C82664">
        <w:rPr>
          <w:b/>
          <w:bCs/>
        </w:rPr>
        <w:t>Wada Istotna</w:t>
      </w:r>
      <w:r w:rsidRPr="00C82664">
        <w:t xml:space="preserve"> – wada uniemożliwiająca lub istotnie utrudniająca korzystanie z Przedmiotu Umowy zgodnie z jego przeznaczeniem, w szczególności: brak </w:t>
      </w:r>
      <w:r w:rsidRPr="00C82664">
        <w:lastRenderedPageBreak/>
        <w:t>funkcjonalności krytycznych określonych w OPZ, niezgodność z wymogami DNSH lub WCAG 2.1, brak integracji systemów.</w:t>
      </w:r>
    </w:p>
    <w:p w14:paraId="02276488" w14:textId="77777777" w:rsidR="00C82664" w:rsidRPr="00C82664" w:rsidRDefault="00C82664" w:rsidP="0034798B">
      <w:pPr>
        <w:jc w:val="center"/>
        <w:rPr>
          <w:b/>
          <w:bCs/>
        </w:rPr>
      </w:pPr>
      <w:r w:rsidRPr="00C82664">
        <w:rPr>
          <w:b/>
          <w:bCs/>
        </w:rPr>
        <w:t>§ 2. PRZEDMIOT UMOWY</w:t>
      </w:r>
    </w:p>
    <w:p w14:paraId="3C486416" w14:textId="77777777" w:rsidR="00C82664" w:rsidRPr="00C82664" w:rsidRDefault="00C82664" w:rsidP="00602625">
      <w:pPr>
        <w:numPr>
          <w:ilvl w:val="0"/>
          <w:numId w:val="41"/>
        </w:numPr>
        <w:jc w:val="both"/>
      </w:pPr>
      <w:r w:rsidRPr="00C82664">
        <w:t xml:space="preserve">Przedmiotem Umowy jest dostawa, wdrożenie i utrzymanie zintegrowanego systemu </w:t>
      </w:r>
      <w:proofErr w:type="spellStart"/>
      <w:r w:rsidRPr="00C82664">
        <w:t>cyberbezpieczeństwa</w:t>
      </w:r>
      <w:proofErr w:type="spellEnd"/>
      <w:r w:rsidRPr="00C82664">
        <w:t xml:space="preserve"> w ramach projektu pn. „Rozwój usług cyfrowych i poprawa </w:t>
      </w:r>
      <w:proofErr w:type="spellStart"/>
      <w:r w:rsidRPr="00C82664">
        <w:t>cyberbezpieczeństwa</w:t>
      </w:r>
      <w:proofErr w:type="spellEnd"/>
      <w:r w:rsidRPr="00C82664">
        <w:t xml:space="preserve"> w Szpitalu Zakonu Bonifratrów pw. Aniołów Stróżów w Katowicach” (nr wniosku: KPOD.07.03-IP.10-0131/25), finansowanego ze środków KPO.</w:t>
      </w:r>
    </w:p>
    <w:p w14:paraId="4034800E" w14:textId="77777777" w:rsidR="00C82664" w:rsidRPr="00C82664" w:rsidRDefault="00C82664" w:rsidP="00602625">
      <w:pPr>
        <w:numPr>
          <w:ilvl w:val="0"/>
          <w:numId w:val="41"/>
        </w:numPr>
        <w:jc w:val="both"/>
      </w:pPr>
      <w:r w:rsidRPr="00C82664">
        <w:t>Zamówienie ma charakter inwestycyjny. Wszelkie usługi o charakterze ciągłym (utrzymanie, subskrypcje) stanowią integralny element dostawy wartości niematerialnych i prawnych, opłaconych z góry za cały okres trwania projektu (model </w:t>
      </w:r>
      <w:proofErr w:type="spellStart"/>
      <w:r w:rsidRPr="00C82664">
        <w:rPr>
          <w:i/>
          <w:iCs/>
        </w:rPr>
        <w:t>pre-paid</w:t>
      </w:r>
      <w:proofErr w:type="spellEnd"/>
      <w:r w:rsidRPr="00C82664">
        <w:t>).</w:t>
      </w:r>
    </w:p>
    <w:p w14:paraId="39215E52" w14:textId="77777777" w:rsidR="00C82664" w:rsidRPr="00C82664" w:rsidRDefault="00C82664" w:rsidP="00602625">
      <w:pPr>
        <w:numPr>
          <w:ilvl w:val="0"/>
          <w:numId w:val="41"/>
        </w:numPr>
        <w:jc w:val="both"/>
      </w:pPr>
      <w:r w:rsidRPr="00C82664">
        <w:t>Zakres Zamówienia Podstawowego obejmuje trzy Części (Pakiety):</w:t>
      </w:r>
    </w:p>
    <w:p w14:paraId="502C4355" w14:textId="77777777" w:rsidR="00C82664" w:rsidRPr="00C82664" w:rsidRDefault="00C82664" w:rsidP="00602625">
      <w:pPr>
        <w:numPr>
          <w:ilvl w:val="1"/>
          <w:numId w:val="41"/>
        </w:numPr>
        <w:jc w:val="both"/>
      </w:pPr>
      <w:r w:rsidRPr="00C82664">
        <w:rPr>
          <w:b/>
          <w:bCs/>
        </w:rPr>
        <w:t xml:space="preserve">Część 1: SZBI i Security </w:t>
      </w:r>
      <w:proofErr w:type="spellStart"/>
      <w:r w:rsidRPr="00C82664">
        <w:rPr>
          <w:b/>
          <w:bCs/>
        </w:rPr>
        <w:t>Officer</w:t>
      </w:r>
      <w:proofErr w:type="spellEnd"/>
      <w:r w:rsidRPr="00C82664">
        <w:t xml:space="preserve"> – Opracowanie i wdrożenie Systemu Zarządzania Bezpieczeństwem Informacji (SZBI) zgodnego z normą ISO/IEC 27001 oraz dostarczenie Pakietu Nadzoru Autorskiego (usługa zewnętrznego Security </w:t>
      </w:r>
      <w:proofErr w:type="spellStart"/>
      <w:r w:rsidRPr="00C82664">
        <w:t>Officera</w:t>
      </w:r>
      <w:proofErr w:type="spellEnd"/>
      <w:r w:rsidRPr="00C82664">
        <w:t>) na okres 36 miesięcy.</w:t>
      </w:r>
    </w:p>
    <w:p w14:paraId="4D200206" w14:textId="77777777" w:rsidR="00C82664" w:rsidRPr="00C82664" w:rsidRDefault="00C82664" w:rsidP="00602625">
      <w:pPr>
        <w:numPr>
          <w:ilvl w:val="1"/>
          <w:numId w:val="41"/>
        </w:numPr>
        <w:jc w:val="both"/>
      </w:pPr>
      <w:r w:rsidRPr="00C82664">
        <w:rPr>
          <w:b/>
          <w:bCs/>
        </w:rPr>
        <w:t>Część 2: Pakiet Bezpieczeństwa Technicznego (SOC + EDR)</w:t>
      </w:r>
      <w:r w:rsidRPr="00C82664">
        <w:t> – Dostawa i wdrożenie systemu monitorowania (SIEM/Sonda), świadczenie usługi operacyjnej SOC (24/7/365) oraz dostawa licencji EDR dla serwerów i stacji roboczych, opłaconych z góry na okres 36 miesięcy.</w:t>
      </w:r>
    </w:p>
    <w:p w14:paraId="5FFA7A77" w14:textId="77777777" w:rsidR="00C82664" w:rsidRPr="00C82664" w:rsidRDefault="00C82664" w:rsidP="00602625">
      <w:pPr>
        <w:numPr>
          <w:ilvl w:val="1"/>
          <w:numId w:val="41"/>
        </w:numPr>
        <w:jc w:val="both"/>
      </w:pPr>
      <w:r w:rsidRPr="00C82664">
        <w:rPr>
          <w:b/>
          <w:bCs/>
        </w:rPr>
        <w:t>Część 3: Pakiet Edukacyjny</w:t>
      </w:r>
      <w:r w:rsidRPr="00C82664">
        <w:t> – Dostawa i wdrożenie platformy e-learningowej z dostępem dla 600 użytkowników na 36 miesięcy oraz przeprowadzenie szkolenia stacjonarnego dla kadry zarządzającej.</w:t>
      </w:r>
    </w:p>
    <w:p w14:paraId="273922B7" w14:textId="77777777" w:rsidR="00C82664" w:rsidRPr="00C82664" w:rsidRDefault="00C82664" w:rsidP="00602625">
      <w:pPr>
        <w:numPr>
          <w:ilvl w:val="0"/>
          <w:numId w:val="41"/>
        </w:numPr>
        <w:jc w:val="both"/>
      </w:pPr>
      <w:r w:rsidRPr="00C82664">
        <w:t>Szczegółowy zakres prac, parametry techniczne i funkcjonalne określa OPZ.</w:t>
      </w:r>
    </w:p>
    <w:p w14:paraId="55F58724" w14:textId="77777777" w:rsidR="00C82664" w:rsidRPr="00C82664" w:rsidRDefault="00C82664" w:rsidP="00602625">
      <w:pPr>
        <w:numPr>
          <w:ilvl w:val="0"/>
          <w:numId w:val="41"/>
        </w:numPr>
        <w:jc w:val="both"/>
      </w:pPr>
      <w:r w:rsidRPr="00C82664">
        <w:t>Wykonawca oświadcza, że dostarczone rozwiązania (w tym centra danych wykorzystywane do usług chmurowych) są zgodne z zasadą </w:t>
      </w:r>
      <w:r w:rsidRPr="00C82664">
        <w:rPr>
          <w:b/>
          <w:bCs/>
        </w:rPr>
        <w:t>DNSH</w:t>
      </w:r>
      <w:r w:rsidRPr="00C82664">
        <w:t>. Wykonawca zobowiązuje się, na każde wezwanie Zamawiającego, dostarczyć dowody tej zgodności (np. certyfikaty efektywności energetycznej PUE, zgodność z </w:t>
      </w:r>
      <w:proofErr w:type="spellStart"/>
      <w:r w:rsidRPr="00C82664">
        <w:rPr>
          <w:i/>
          <w:iCs/>
        </w:rPr>
        <w:t>Code</w:t>
      </w:r>
      <w:proofErr w:type="spellEnd"/>
      <w:r w:rsidRPr="00C82664">
        <w:rPr>
          <w:i/>
          <w:iCs/>
        </w:rPr>
        <w:t xml:space="preserve"> of </w:t>
      </w:r>
      <w:proofErr w:type="spellStart"/>
      <w:r w:rsidRPr="00C82664">
        <w:rPr>
          <w:i/>
          <w:iCs/>
        </w:rPr>
        <w:t>Conduct</w:t>
      </w:r>
      <w:proofErr w:type="spellEnd"/>
      <w:r w:rsidRPr="00C82664">
        <w:rPr>
          <w:i/>
          <w:iCs/>
        </w:rPr>
        <w:t xml:space="preserve"> for Energy </w:t>
      </w:r>
      <w:proofErr w:type="spellStart"/>
      <w:r w:rsidRPr="00C82664">
        <w:rPr>
          <w:i/>
          <w:iCs/>
        </w:rPr>
        <w:t>Efficiency</w:t>
      </w:r>
      <w:proofErr w:type="spellEnd"/>
      <w:r w:rsidRPr="00C82664">
        <w:rPr>
          <w:i/>
          <w:iCs/>
        </w:rPr>
        <w:t xml:space="preserve"> in Data </w:t>
      </w:r>
      <w:proofErr w:type="spellStart"/>
      <w:r w:rsidRPr="00C82664">
        <w:rPr>
          <w:i/>
          <w:iCs/>
        </w:rPr>
        <w:t>Centres</w:t>
      </w:r>
      <w:proofErr w:type="spellEnd"/>
      <w:r w:rsidRPr="00C82664">
        <w:t>).</w:t>
      </w:r>
    </w:p>
    <w:p w14:paraId="474E66EA" w14:textId="77777777" w:rsidR="00C82664" w:rsidRDefault="00C82664" w:rsidP="00602625">
      <w:pPr>
        <w:numPr>
          <w:ilvl w:val="0"/>
          <w:numId w:val="41"/>
        </w:numPr>
        <w:jc w:val="both"/>
      </w:pPr>
      <w:r w:rsidRPr="00C82664">
        <w:t>Wykonawca gwarantuje, że dostarczone produkty cyfrowe (platforma, interfejsy raportowe) spełniają wymogi dostępności cyfrowej zgodnie ze standardem </w:t>
      </w:r>
      <w:r w:rsidRPr="00C82664">
        <w:rPr>
          <w:b/>
          <w:bCs/>
        </w:rPr>
        <w:t>WCAG 2.1 na poziomie AA</w:t>
      </w:r>
      <w:r w:rsidRPr="00C82664">
        <w:t>, zgodnie z ustawą z dnia 4 kwietnia 2019 r. o dostępności cyfrowej stron internetowych i aplikacji mobilnych podmiotów publicznych.</w:t>
      </w:r>
    </w:p>
    <w:p w14:paraId="5D0DDCC4" w14:textId="178017BE" w:rsidR="00842A10" w:rsidRDefault="00842A10" w:rsidP="00842A10">
      <w:pPr>
        <w:numPr>
          <w:ilvl w:val="0"/>
          <w:numId w:val="41"/>
        </w:numPr>
        <w:jc w:val="both"/>
      </w:pPr>
      <w:r>
        <w:t xml:space="preserve">Wykonawca oświadcza, że wykona przedmiot umowy przy wykorzystaniu materiałów, utworów, danych i informacji oraz programów komputerowych, zgodnie z obowiązującymi przepisami prawa oraz bez naruszania praw osób trzecich, a w szczególności bez naruszania dóbr osobistych, majątkowych i osobistych praw autorskich, praw pokrewnych, praw do znaków towarowych lub wzorów użytkowych bądź innych praw własności intelektualnej, a także danych osobowych osób trzecich. Gdyby doszło do takiego naruszenia, wyłączną odpowiedzialność względem podmiotów, których prawa zostały naruszone, ponosi Wykonawca. W przypadku wystąpienia z roszczeniami przez osoby trzecie przeciwko Wykonawcy z wyżej wymienionych tytułów, Wykonawca </w:t>
      </w:r>
      <w:r>
        <w:lastRenderedPageBreak/>
        <w:t>zobowiązuje się do zaspokojenia tych roszczeń i zwolnienia Zamawiającego z obowiązku świadczenia.</w:t>
      </w:r>
    </w:p>
    <w:p w14:paraId="232427DE" w14:textId="3645D7D6" w:rsidR="00842A10" w:rsidRPr="00C82664" w:rsidRDefault="00842A10" w:rsidP="00842A10">
      <w:pPr>
        <w:numPr>
          <w:ilvl w:val="0"/>
          <w:numId w:val="41"/>
        </w:numPr>
        <w:jc w:val="both"/>
      </w:pPr>
      <w:r>
        <w:t>Wykonawca, w ramach przewidzianego w umowie wynagrodzenia, z chwilą udostępnienia Zamawiając</w:t>
      </w:r>
      <w:r w:rsidR="00FF5A52">
        <w:t>emu</w:t>
      </w:r>
      <w:r>
        <w:t xml:space="preserve"> jakichkolwiek wykonanych przez siebie materiałów (dzieł), </w:t>
      </w:r>
      <w:r w:rsidR="00912904">
        <w:t xml:space="preserve">w tym w szczególności dokumentacji, raportów, rekomendacji, materiałów szkoleniowych, </w:t>
      </w:r>
      <w:r>
        <w:t>niezależnie od formy tych materiałów, udziela Zamawiającemu wyłącznej, nieograniczonej</w:t>
      </w:r>
      <w:r w:rsidR="00FF5A52">
        <w:t xml:space="preserve"> czasowo i</w:t>
      </w:r>
      <w:r>
        <w:t xml:space="preserve"> terytorialnie, licencji, uprawniającej Zamawiającego o do korzystania z wszelkich dzieł zrealizowanych i udostępnionych Zamawiającemu w wykonaniu niniejszej umowy.  Wykonawca oświadcza, iż udzielenie licencji dotyczyć będzie wszystkich dzieł, które zostaną udostępnione Zleceniobiorcy w trakcie realizacji niniejszej umowy, w tym również dzieł, które nie zostały wprost w umowie wymienione.</w:t>
      </w:r>
    </w:p>
    <w:p w14:paraId="25CEFBFF" w14:textId="77777777" w:rsidR="00C82664" w:rsidRPr="00C82664" w:rsidRDefault="00C82664" w:rsidP="0034798B">
      <w:pPr>
        <w:jc w:val="center"/>
        <w:rPr>
          <w:b/>
          <w:bCs/>
        </w:rPr>
      </w:pPr>
      <w:r w:rsidRPr="00C82664">
        <w:rPr>
          <w:b/>
          <w:bCs/>
        </w:rPr>
        <w:t>§ 3. PRAWO OPCJI</w:t>
      </w:r>
    </w:p>
    <w:p w14:paraId="10A62913" w14:textId="62B37034" w:rsidR="00C82664" w:rsidRPr="00C82664" w:rsidRDefault="00C82664" w:rsidP="00602625">
      <w:pPr>
        <w:numPr>
          <w:ilvl w:val="0"/>
          <w:numId w:val="42"/>
        </w:numPr>
        <w:jc w:val="both"/>
      </w:pPr>
      <w:r w:rsidRPr="00C82664">
        <w:t>Zamawiający zastrzega sobie prawo do skorzystania z Prawa Opcji, polegającego na rozszerzeniu zakresu zamówienia o jednostki powiązane (Oddziały BCM w Krakowie, Warszawie, Wrocławiu oraz Centralę), zgodnie z opisem zawartym w Rozdziale "Prawo Opcji" OPZ.</w:t>
      </w:r>
    </w:p>
    <w:p w14:paraId="518283A9" w14:textId="77777777" w:rsidR="00C82664" w:rsidRPr="00C82664" w:rsidRDefault="00C82664" w:rsidP="00602625">
      <w:pPr>
        <w:numPr>
          <w:ilvl w:val="0"/>
          <w:numId w:val="42"/>
        </w:numPr>
        <w:jc w:val="both"/>
      </w:pPr>
      <w:r w:rsidRPr="00C82664">
        <w:t>Warunkiem uruchomienia Prawa Opcji jest złożenie przez Zamawiającego pisemnego oświadczenia woli w terminie do </w:t>
      </w:r>
      <w:r w:rsidRPr="00C82664">
        <w:rPr>
          <w:b/>
          <w:bCs/>
        </w:rPr>
        <w:t>12 (dwunastu) miesięcy</w:t>
      </w:r>
      <w:r w:rsidRPr="00C82664">
        <w:t> od daty zawarcia Umowy.</w:t>
      </w:r>
    </w:p>
    <w:p w14:paraId="1701C85C" w14:textId="77777777" w:rsidR="00C82664" w:rsidRPr="00C82664" w:rsidRDefault="00C82664" w:rsidP="00602625">
      <w:pPr>
        <w:numPr>
          <w:ilvl w:val="0"/>
          <w:numId w:val="42"/>
        </w:numPr>
        <w:jc w:val="both"/>
      </w:pPr>
      <w:r w:rsidRPr="00C82664">
        <w:t>Prawo Opcji jest wyłącznym uprawnieniem Zamawiającego. Wykonawcy nie przysługują żadne roszczenia odszkodowawcze z tytułu nieskorzystania przez Zamawiającego z Prawa Opcji w całości lub w części.</w:t>
      </w:r>
    </w:p>
    <w:p w14:paraId="3A701C5B" w14:textId="77777777" w:rsidR="00C82664" w:rsidRPr="00C82664" w:rsidRDefault="00C82664" w:rsidP="00602625">
      <w:pPr>
        <w:numPr>
          <w:ilvl w:val="0"/>
          <w:numId w:val="42"/>
        </w:numPr>
        <w:jc w:val="both"/>
      </w:pPr>
      <w:r w:rsidRPr="00C82664">
        <w:t>Realizacja Prawa Opcji odbywać się będzie według cen jednostkowych wskazanych w Ofercie Wykonawcy, z zastrzeżeniem ust. 5.</w:t>
      </w:r>
    </w:p>
    <w:p w14:paraId="79FCABF7" w14:textId="4259D00D" w:rsidR="00C82664" w:rsidRPr="00C82664" w:rsidRDefault="00C82664" w:rsidP="00602625">
      <w:pPr>
        <w:numPr>
          <w:ilvl w:val="0"/>
          <w:numId w:val="42"/>
        </w:numPr>
        <w:jc w:val="both"/>
      </w:pPr>
      <w:r w:rsidRPr="00C82664">
        <w:rPr>
          <w:b/>
          <w:bCs/>
        </w:rPr>
        <w:t>Klauzula Waloryzacyjna Opcji:</w:t>
      </w:r>
      <w:r w:rsidRPr="00C82664">
        <w:t> W przypadku skorzystania z Prawa Opcji po upływie 6 miesięcy od dnia zawarcia Umowy, ceny jednostkowe dla Opcji mogą ulec waloryzacji o</w:t>
      </w:r>
      <w:r w:rsidR="00602DFD">
        <w:t xml:space="preserve"> wartość</w:t>
      </w:r>
      <w:r w:rsidR="00857912">
        <w:t xml:space="preserve"> wzrostu wynikającą z porównania </w:t>
      </w:r>
      <w:r w:rsidRPr="00C82664">
        <w:t>wskaźnik</w:t>
      </w:r>
      <w:r w:rsidR="00857912">
        <w:t>a</w:t>
      </w:r>
      <w:r w:rsidRPr="00C82664">
        <w:t xml:space="preserve"> wzrostu cen towarów i usług konsumpcyjnych (CPI) ogłaszan</w:t>
      </w:r>
      <w:r w:rsidR="00857912">
        <w:t>ego</w:t>
      </w:r>
      <w:r w:rsidRPr="00C82664">
        <w:t xml:space="preserve"> przez Prezesa GUS,</w:t>
      </w:r>
      <w:r w:rsidR="00602DFD">
        <w:t xml:space="preserve"> </w:t>
      </w:r>
      <w:r w:rsidR="00857912">
        <w:t xml:space="preserve">obowiązującego w dacie złożenia oferty przez Wykonawcę, ze </w:t>
      </w:r>
      <w:r w:rsidR="00602DFD">
        <w:t>wskaźnik</w:t>
      </w:r>
      <w:r w:rsidR="00857912">
        <w:t>iem</w:t>
      </w:r>
      <w:r w:rsidR="00602DFD">
        <w:t xml:space="preserve"> z </w:t>
      </w:r>
      <w:r w:rsidR="00857912">
        <w:t>obowiązującym w miesiącu złożenia przez Zamawiającego oświadczenia o skorzystaniu z prawa opcji</w:t>
      </w:r>
      <w:r w:rsidR="00602DFD">
        <w:t>,</w:t>
      </w:r>
      <w:r w:rsidR="00CB4D00">
        <w:t xml:space="preserve"> </w:t>
      </w:r>
      <w:r w:rsidRPr="00C82664">
        <w:t xml:space="preserve">o ile </w:t>
      </w:r>
      <w:r w:rsidR="00602DFD">
        <w:t xml:space="preserve">wartość wzrostu </w:t>
      </w:r>
      <w:r w:rsidRPr="00C82664">
        <w:t>wskaźnik</w:t>
      </w:r>
      <w:r w:rsidR="00602DFD">
        <w:t>a</w:t>
      </w:r>
      <w:r w:rsidRPr="00C82664">
        <w:t xml:space="preserve"> przekroczy </w:t>
      </w:r>
      <w:r w:rsidR="002E593C">
        <w:t xml:space="preserve">w tym okresie </w:t>
      </w:r>
      <w:r w:rsidRPr="00C82664">
        <w:t>5%. Waloryzacja następuje na pisemny wniosek Wykonawcy i wymaga aneksu do Umowy.</w:t>
      </w:r>
    </w:p>
    <w:p w14:paraId="6D5E2BEC" w14:textId="77777777" w:rsidR="00C82664" w:rsidRPr="00C82664" w:rsidRDefault="00C82664" w:rsidP="0034798B">
      <w:pPr>
        <w:jc w:val="center"/>
        <w:rPr>
          <w:b/>
          <w:bCs/>
        </w:rPr>
      </w:pPr>
      <w:r w:rsidRPr="00C82664">
        <w:rPr>
          <w:b/>
          <w:bCs/>
        </w:rPr>
        <w:t>§ 4. TERMINY REALIZACJI</w:t>
      </w:r>
    </w:p>
    <w:p w14:paraId="50C7ED0D" w14:textId="77777777" w:rsidR="00C82664" w:rsidRPr="00C82664" w:rsidRDefault="00C82664" w:rsidP="00FF5A52">
      <w:pPr>
        <w:numPr>
          <w:ilvl w:val="0"/>
          <w:numId w:val="43"/>
        </w:numPr>
        <w:jc w:val="both"/>
      </w:pPr>
      <w:r w:rsidRPr="00C82664">
        <w:t>Strony ustalają następujące terminy realizacji prac wdrożeniowych (Etap Inwestycyjny):</w:t>
      </w:r>
    </w:p>
    <w:p w14:paraId="20DDF05B" w14:textId="0D3F9574" w:rsidR="00C82664" w:rsidRPr="00C82664" w:rsidRDefault="00C82664" w:rsidP="00FF5A52">
      <w:pPr>
        <w:numPr>
          <w:ilvl w:val="1"/>
          <w:numId w:val="43"/>
        </w:numPr>
        <w:jc w:val="both"/>
      </w:pPr>
      <w:r w:rsidRPr="00C82664">
        <w:t xml:space="preserve">Dla Części 1 (SZBI + Security </w:t>
      </w:r>
      <w:proofErr w:type="spellStart"/>
      <w:r w:rsidRPr="00C82664">
        <w:t>Officer</w:t>
      </w:r>
      <w:proofErr w:type="spellEnd"/>
      <w:r w:rsidRPr="00C82664">
        <w:t>): do </w:t>
      </w:r>
      <w:r w:rsidR="00D01181">
        <w:rPr>
          <w:b/>
          <w:bCs/>
        </w:rPr>
        <w:t>100</w:t>
      </w:r>
      <w:r w:rsidRPr="00C82664">
        <w:rPr>
          <w:b/>
          <w:bCs/>
        </w:rPr>
        <w:t xml:space="preserve"> dni</w:t>
      </w:r>
      <w:r w:rsidRPr="00C82664">
        <w:t> od daty zawarcia Umowy.</w:t>
      </w:r>
    </w:p>
    <w:p w14:paraId="7D5A845C" w14:textId="77777777" w:rsidR="00C82664" w:rsidRPr="00C82664" w:rsidRDefault="00C82664" w:rsidP="00FF5A52">
      <w:pPr>
        <w:numPr>
          <w:ilvl w:val="1"/>
          <w:numId w:val="43"/>
        </w:numPr>
        <w:jc w:val="both"/>
      </w:pPr>
      <w:r w:rsidRPr="00C82664">
        <w:t>Dla Części 2 (SOC + EDR): do </w:t>
      </w:r>
      <w:r w:rsidRPr="00C82664">
        <w:rPr>
          <w:b/>
          <w:bCs/>
        </w:rPr>
        <w:t>90 dni</w:t>
      </w:r>
      <w:r w:rsidRPr="00C82664">
        <w:t> od daty zawarcia Umowy.</w:t>
      </w:r>
    </w:p>
    <w:p w14:paraId="1494AB32" w14:textId="77777777" w:rsidR="00C82664" w:rsidRPr="00C82664" w:rsidRDefault="00C82664" w:rsidP="00FF5A52">
      <w:pPr>
        <w:numPr>
          <w:ilvl w:val="1"/>
          <w:numId w:val="43"/>
        </w:numPr>
        <w:jc w:val="both"/>
      </w:pPr>
      <w:r w:rsidRPr="00C82664">
        <w:t>Dla Części 3 (E-learning + Szkolenia): do </w:t>
      </w:r>
      <w:r w:rsidRPr="00C82664">
        <w:rPr>
          <w:b/>
          <w:bCs/>
        </w:rPr>
        <w:t>30 dni</w:t>
      </w:r>
      <w:r w:rsidRPr="00C82664">
        <w:t> od daty Odbioru Końcowego Części 1.</w:t>
      </w:r>
    </w:p>
    <w:p w14:paraId="267854B0" w14:textId="77777777" w:rsidR="00C82664" w:rsidRPr="00C82664" w:rsidRDefault="00C82664" w:rsidP="00FF5A52">
      <w:pPr>
        <w:numPr>
          <w:ilvl w:val="1"/>
          <w:numId w:val="43"/>
        </w:numPr>
        <w:jc w:val="both"/>
      </w:pPr>
      <w:r w:rsidRPr="00C82664">
        <w:t>Ostateczny termin zakończenia wszystkich wdrożeń (Realizacji finansowej) nie może przekroczyć daty </w:t>
      </w:r>
      <w:r w:rsidRPr="00C82664">
        <w:rPr>
          <w:b/>
          <w:bCs/>
        </w:rPr>
        <w:t>31.05.2026 r.</w:t>
      </w:r>
    </w:p>
    <w:p w14:paraId="7155AE44" w14:textId="77777777" w:rsidR="00C82664" w:rsidRPr="00C82664" w:rsidRDefault="00C82664" w:rsidP="00FF5A52">
      <w:pPr>
        <w:numPr>
          <w:ilvl w:val="0"/>
          <w:numId w:val="43"/>
        </w:numPr>
        <w:jc w:val="both"/>
      </w:pPr>
      <w:r w:rsidRPr="00C82664">
        <w:lastRenderedPageBreak/>
        <w:t>Za termin wykonania danej Części uważa się datę podpisania przez Zamawiającego bezusterkowego Protokołu Odbioru Końcowego.</w:t>
      </w:r>
    </w:p>
    <w:p w14:paraId="7F0B47BB" w14:textId="77777777" w:rsidR="00C82664" w:rsidRDefault="00C82664" w:rsidP="00FF5A52">
      <w:pPr>
        <w:numPr>
          <w:ilvl w:val="0"/>
          <w:numId w:val="43"/>
        </w:numPr>
        <w:jc w:val="both"/>
      </w:pPr>
      <w:r w:rsidRPr="00C82664">
        <w:t>Po zakończeniu prac wdrożeniowych danej Części, Wykonawca zobowiązany jest do świadczenia usług w ramach </w:t>
      </w:r>
      <w:r w:rsidRPr="00C82664">
        <w:rPr>
          <w:b/>
          <w:bCs/>
        </w:rPr>
        <w:t>Okresu Gwarancji Ciągłości przez 36 miesięcy</w:t>
      </w:r>
      <w:r w:rsidRPr="00C82664">
        <w:t>.</w:t>
      </w:r>
    </w:p>
    <w:p w14:paraId="6ECBD9D3" w14:textId="77777777" w:rsidR="00C82664" w:rsidRPr="00C82664" w:rsidRDefault="00C82664" w:rsidP="0034798B">
      <w:pPr>
        <w:jc w:val="center"/>
        <w:rPr>
          <w:b/>
          <w:bCs/>
        </w:rPr>
      </w:pPr>
      <w:r w:rsidRPr="00C82664">
        <w:rPr>
          <w:b/>
          <w:bCs/>
        </w:rPr>
        <w:t>§ 5. OBOWIĄZKI WYKONAWCY I PERSONEL KLUCZOWY</w:t>
      </w:r>
    </w:p>
    <w:p w14:paraId="1D706E76" w14:textId="77777777" w:rsidR="00C82664" w:rsidRPr="00C82664" w:rsidRDefault="00C82664" w:rsidP="00602625">
      <w:pPr>
        <w:numPr>
          <w:ilvl w:val="0"/>
          <w:numId w:val="44"/>
        </w:numPr>
        <w:jc w:val="both"/>
      </w:pPr>
      <w:r w:rsidRPr="00C82664">
        <w:t>Wykonawca zobowiązuje się do realizacji zamówienia przy udziale osób wskazanych w </w:t>
      </w:r>
      <w:r w:rsidRPr="00C82664">
        <w:rPr>
          <w:b/>
          <w:bCs/>
        </w:rPr>
        <w:t>Wykazie Osób</w:t>
      </w:r>
      <w:r w:rsidRPr="00C82664">
        <w:t> (Personel Kluczowy), stanowiącym załącznik do Oferty.</w:t>
      </w:r>
    </w:p>
    <w:p w14:paraId="7D4A739D" w14:textId="77777777" w:rsidR="00C82664" w:rsidRPr="00C82664" w:rsidRDefault="00C82664" w:rsidP="00602625">
      <w:pPr>
        <w:numPr>
          <w:ilvl w:val="0"/>
          <w:numId w:val="44"/>
        </w:numPr>
        <w:jc w:val="both"/>
      </w:pPr>
      <w:r w:rsidRPr="00C82664">
        <w:t>Zmiana członka Personelu Kluczowego dopuszczalna jest wyłącznie za uprzednią pisemną zgodą Zamawiającego i jedynie w uzasadnionych przypadkach (np. choroba, rozwiązanie stosunku pracy). Nowa osoba musi posiadać kwalifikacje, doświadczenie i certyfikaty nie gorsze niż określone dla danego stanowiska w Zapytaniu Ofertowym.</w:t>
      </w:r>
    </w:p>
    <w:p w14:paraId="2C424A91" w14:textId="77777777" w:rsidR="00C82664" w:rsidRPr="00C82664" w:rsidRDefault="00C82664" w:rsidP="00602625">
      <w:pPr>
        <w:numPr>
          <w:ilvl w:val="0"/>
          <w:numId w:val="44"/>
        </w:numPr>
        <w:jc w:val="both"/>
      </w:pPr>
      <w:r w:rsidRPr="00C82664">
        <w:t>Wykonawca ponosi pełną odpowiedzialność za działania i zaniechania podwykonawców jak za działania własne. Powierzenie przetwarzania danych osobowych podwykonawcom wymaga zgody Zamawiającego w trybie określonym w Umowie Powierzenia Przetwarzania Danych Osobowych (Załącznik nr 3).</w:t>
      </w:r>
    </w:p>
    <w:p w14:paraId="06337253" w14:textId="77777777" w:rsidR="00C82664" w:rsidRPr="00C82664" w:rsidRDefault="00C82664" w:rsidP="0034798B">
      <w:pPr>
        <w:jc w:val="center"/>
        <w:rPr>
          <w:b/>
          <w:bCs/>
        </w:rPr>
      </w:pPr>
      <w:r w:rsidRPr="00C82664">
        <w:rPr>
          <w:b/>
          <w:bCs/>
        </w:rPr>
        <w:t>§ 6. ODBIORY I SLA</w:t>
      </w:r>
    </w:p>
    <w:p w14:paraId="7EB57EDD" w14:textId="5D1625B2" w:rsidR="00C82664" w:rsidRPr="00C82664" w:rsidRDefault="00C82664" w:rsidP="002E593C">
      <w:pPr>
        <w:numPr>
          <w:ilvl w:val="0"/>
          <w:numId w:val="45"/>
        </w:numPr>
        <w:jc w:val="both"/>
      </w:pPr>
      <w:r w:rsidRPr="00C82664">
        <w:t>Realizacja każdej z Części zamówienia kończy się procedurą odbioru. Wykonawca zgłasza gotowość do odbioru, przekazując komplet dokumentacji i certyfikaty licencyjne.</w:t>
      </w:r>
      <w:r w:rsidR="00E74ED5" w:rsidRPr="00E74ED5">
        <w:t xml:space="preserve"> Wykonawca zobowiązany jest do dostarczenia Zamawiającemu dokumentacji wskazanej w OPZ oraz w postanowieniach niniejszej umowy. W przypadku nieprzekazania ww. dokumentacji, a także w wypadku przekazania dokumentacji niekompletnej lub niezgodnej z zapisami OPZ oraz Umowy, Zamawiający może odmówić przystąpienia do odbioru, do czasu przedłożenia, uzupełnienia lub poprawienia ww. dokumentacji przez Wykonawcę.</w:t>
      </w:r>
    </w:p>
    <w:p w14:paraId="13D0E4A4" w14:textId="77777777" w:rsidR="00C82664" w:rsidRPr="00C82664" w:rsidRDefault="00C82664" w:rsidP="002E593C">
      <w:pPr>
        <w:numPr>
          <w:ilvl w:val="0"/>
          <w:numId w:val="45"/>
        </w:numPr>
        <w:jc w:val="both"/>
      </w:pPr>
      <w:r w:rsidRPr="00C82664">
        <w:t>Zamawiający weryfikuje przedmiot odbioru w terminie do 5 Dni Roboczych. W przypadku stwierdzenia Wad Istotnych, Zamawiający odmawia odbioru i wyznacza termin na ich usunięcie.</w:t>
      </w:r>
    </w:p>
    <w:p w14:paraId="4FE020E6" w14:textId="77777777" w:rsidR="00C82664" w:rsidRPr="00C82664" w:rsidRDefault="00C82664" w:rsidP="002E593C">
      <w:pPr>
        <w:numPr>
          <w:ilvl w:val="0"/>
          <w:numId w:val="45"/>
        </w:numPr>
        <w:jc w:val="both"/>
      </w:pPr>
      <w:r w:rsidRPr="00C82664">
        <w:rPr>
          <w:b/>
          <w:bCs/>
        </w:rPr>
        <w:t>SLA dla Usługi SOC:</w:t>
      </w:r>
      <w:r w:rsidRPr="00C82664">
        <w:t> Wykonawca gwarantuje następujące parametry jakości usług w Okresie Gwarancji Ciągłości:</w:t>
      </w:r>
    </w:p>
    <w:p w14:paraId="645AEFAB" w14:textId="77777777" w:rsidR="00C82664" w:rsidRPr="00C82664" w:rsidRDefault="00C82664" w:rsidP="002E593C">
      <w:pPr>
        <w:numPr>
          <w:ilvl w:val="1"/>
          <w:numId w:val="45"/>
        </w:numPr>
        <w:jc w:val="both"/>
      </w:pPr>
      <w:r w:rsidRPr="00C82664">
        <w:t>Dostępność usługi monitorowania: min. </w:t>
      </w:r>
      <w:r w:rsidRPr="00C82664">
        <w:rPr>
          <w:b/>
          <w:bCs/>
        </w:rPr>
        <w:t>99,5%</w:t>
      </w:r>
      <w:r w:rsidRPr="00C82664">
        <w:t> w skali miesiąca.</w:t>
      </w:r>
    </w:p>
    <w:p w14:paraId="0FA96457" w14:textId="68BBA310" w:rsidR="00C82664" w:rsidRPr="00C82664" w:rsidRDefault="00C82664" w:rsidP="002E593C">
      <w:pPr>
        <w:numPr>
          <w:ilvl w:val="1"/>
          <w:numId w:val="45"/>
        </w:numPr>
        <w:jc w:val="both"/>
      </w:pPr>
      <w:r w:rsidRPr="00C82664">
        <w:t xml:space="preserve">Czas reakcji na Incydent Krytyczny (P1): maksymalnie </w:t>
      </w:r>
      <w:r w:rsidR="0034798B">
        <w:t>…………..</w:t>
      </w:r>
      <w:r w:rsidRPr="00C82664">
        <w:t xml:space="preserve"> (nie więcej niż 30 min).</w:t>
      </w:r>
    </w:p>
    <w:p w14:paraId="707B22B0" w14:textId="77777777" w:rsidR="00C82664" w:rsidRPr="00C82664" w:rsidRDefault="00C82664" w:rsidP="002E593C">
      <w:pPr>
        <w:numPr>
          <w:ilvl w:val="1"/>
          <w:numId w:val="45"/>
        </w:numPr>
        <w:jc w:val="both"/>
      </w:pPr>
      <w:r w:rsidRPr="00C82664">
        <w:t>Czas reakcji na Incydent Wysoki (P2): maksymalnie 2 godziny.</w:t>
      </w:r>
    </w:p>
    <w:p w14:paraId="3EEEA5E9" w14:textId="77777777" w:rsidR="00C82664" w:rsidRDefault="00C82664" w:rsidP="002E593C">
      <w:pPr>
        <w:numPr>
          <w:ilvl w:val="0"/>
          <w:numId w:val="45"/>
        </w:numPr>
        <w:jc w:val="both"/>
      </w:pPr>
      <w:r w:rsidRPr="00C82664">
        <w:t>Naruszenie parametrów SLA skutkuje naliczeniem kar umownych zgodnie z § 9.</w:t>
      </w:r>
    </w:p>
    <w:p w14:paraId="785018C1" w14:textId="727A5055" w:rsidR="00E74ED5" w:rsidRPr="00C82664" w:rsidRDefault="00E74ED5" w:rsidP="002E593C">
      <w:pPr>
        <w:numPr>
          <w:ilvl w:val="0"/>
          <w:numId w:val="45"/>
        </w:numPr>
        <w:jc w:val="both"/>
      </w:pPr>
      <w:r w:rsidRPr="00E74ED5">
        <w:t>Dokonanie odbioru Przedmiotu Umowy nie wpływa na możliwość skorzystania przez Zamawiającego z uprawnień przysługujących mu na mocy przepisów prawa oraz postanowień Umowy  w wypadku nienależytego wykonania Umowy.</w:t>
      </w:r>
    </w:p>
    <w:p w14:paraId="645FABBE" w14:textId="77777777" w:rsidR="00C82664" w:rsidRPr="00C82664" w:rsidRDefault="00C82664" w:rsidP="0034798B">
      <w:pPr>
        <w:jc w:val="center"/>
        <w:rPr>
          <w:b/>
          <w:bCs/>
        </w:rPr>
      </w:pPr>
      <w:r w:rsidRPr="00C82664">
        <w:rPr>
          <w:b/>
          <w:bCs/>
        </w:rPr>
        <w:t>§ 7. WYNAGRODZENIE I WARUNKI PŁATNOŚCI</w:t>
      </w:r>
    </w:p>
    <w:p w14:paraId="454C7888" w14:textId="77777777" w:rsidR="00C82664" w:rsidRPr="00C82664" w:rsidRDefault="00C82664" w:rsidP="00602625">
      <w:pPr>
        <w:numPr>
          <w:ilvl w:val="0"/>
          <w:numId w:val="46"/>
        </w:numPr>
        <w:jc w:val="both"/>
      </w:pPr>
      <w:r w:rsidRPr="00C82664">
        <w:lastRenderedPageBreak/>
        <w:t>Za należyte wykonanie Przedmiotu Umowy Strony ustalają łączne wynagrodzenie ryczałtowe w wysokości: </w:t>
      </w:r>
      <w:r w:rsidRPr="00C82664">
        <w:rPr>
          <w:b/>
          <w:bCs/>
        </w:rPr>
        <w:t>Netto: …………………… PLN</w:t>
      </w:r>
      <w:r w:rsidRPr="00C82664">
        <w:t> (słownie: ………………………………………………………) plus należny podatek VAT. </w:t>
      </w:r>
      <w:r w:rsidRPr="00C82664">
        <w:rPr>
          <w:b/>
          <w:bCs/>
        </w:rPr>
        <w:t>Brutto: …………………… PLN</w:t>
      </w:r>
      <w:r w:rsidRPr="00C82664">
        <w:t>.</w:t>
      </w:r>
    </w:p>
    <w:p w14:paraId="21B8D173" w14:textId="77777777" w:rsidR="00C82664" w:rsidRPr="00C82664" w:rsidRDefault="00C82664" w:rsidP="00602625">
      <w:pPr>
        <w:numPr>
          <w:ilvl w:val="0"/>
          <w:numId w:val="46"/>
        </w:numPr>
        <w:jc w:val="both"/>
      </w:pPr>
      <w:r w:rsidRPr="00C82664">
        <w:t>Wynagrodzenie ma charakter ryczałtowy i obejmuje wszelkie koszty, w tym koszty licencji, subskrypcji i usług utrzymaniowych opłaconych z góry za okres 36 miesięcy. Zamawiający nie dopuszcza modelu abonamentowego.</w:t>
      </w:r>
    </w:p>
    <w:p w14:paraId="4A47ECA9" w14:textId="77777777" w:rsidR="00C82664" w:rsidRPr="00C82664" w:rsidRDefault="00C82664" w:rsidP="00602625">
      <w:pPr>
        <w:numPr>
          <w:ilvl w:val="0"/>
          <w:numId w:val="46"/>
        </w:numPr>
        <w:jc w:val="both"/>
      </w:pPr>
      <w:r w:rsidRPr="00C82664">
        <w:t>Płatność nastąpi w transzach, po odbiorze poszczególnych Części zamówienia:</w:t>
      </w:r>
    </w:p>
    <w:p w14:paraId="444EFEF6" w14:textId="7BD3EB30" w:rsidR="00C82664" w:rsidRPr="00C82664" w:rsidRDefault="00C82664" w:rsidP="00602625">
      <w:pPr>
        <w:numPr>
          <w:ilvl w:val="1"/>
          <w:numId w:val="46"/>
        </w:numPr>
        <w:jc w:val="both"/>
      </w:pPr>
      <w:r w:rsidRPr="00C82664">
        <w:rPr>
          <w:b/>
          <w:bCs/>
        </w:rPr>
        <w:t>Transza I</w:t>
      </w:r>
      <w:r w:rsidRPr="00C82664">
        <w:t xml:space="preserve"> (Część 1): </w:t>
      </w:r>
      <w:r w:rsidR="001217A9">
        <w:t xml:space="preserve"> …………. zł netto</w:t>
      </w:r>
      <w:r w:rsidRPr="00C82664">
        <w:t>.</w:t>
      </w:r>
    </w:p>
    <w:p w14:paraId="25980EF7" w14:textId="2F150E6F" w:rsidR="00C82664" w:rsidRPr="00C82664" w:rsidRDefault="00C82664" w:rsidP="00602625">
      <w:pPr>
        <w:numPr>
          <w:ilvl w:val="1"/>
          <w:numId w:val="46"/>
        </w:numPr>
        <w:jc w:val="both"/>
      </w:pPr>
      <w:r w:rsidRPr="00C82664">
        <w:rPr>
          <w:b/>
          <w:bCs/>
        </w:rPr>
        <w:t>Transza II</w:t>
      </w:r>
      <w:r w:rsidRPr="00C82664">
        <w:t xml:space="preserve"> (Część 2): </w:t>
      </w:r>
      <w:r w:rsidR="001217A9">
        <w:t>…………. zł netto</w:t>
      </w:r>
      <w:r w:rsidR="001217A9" w:rsidRPr="00C82664">
        <w:t>.</w:t>
      </w:r>
    </w:p>
    <w:p w14:paraId="5582ED46" w14:textId="4A0F26EE" w:rsidR="00C82664" w:rsidRPr="00C82664" w:rsidRDefault="00C82664" w:rsidP="00602625">
      <w:pPr>
        <w:numPr>
          <w:ilvl w:val="1"/>
          <w:numId w:val="46"/>
        </w:numPr>
        <w:jc w:val="both"/>
      </w:pPr>
      <w:r w:rsidRPr="00C82664">
        <w:rPr>
          <w:b/>
          <w:bCs/>
        </w:rPr>
        <w:t>Transza III</w:t>
      </w:r>
      <w:r w:rsidRPr="00C82664">
        <w:t xml:space="preserve"> (Część 3): </w:t>
      </w:r>
      <w:r w:rsidR="001217A9">
        <w:t>…………. zł netto</w:t>
      </w:r>
      <w:r w:rsidR="001217A9" w:rsidRPr="00C82664">
        <w:t>.</w:t>
      </w:r>
    </w:p>
    <w:p w14:paraId="1AD58494" w14:textId="77777777" w:rsidR="00C82664" w:rsidRPr="00C82664" w:rsidRDefault="00C82664" w:rsidP="00602625">
      <w:pPr>
        <w:numPr>
          <w:ilvl w:val="0"/>
          <w:numId w:val="46"/>
        </w:numPr>
        <w:jc w:val="both"/>
      </w:pPr>
      <w:r w:rsidRPr="00C82664">
        <w:t>Podstawą wystawienia faktury jest podpisany bezusterkowy Protokół Odbioru Końcowego. Termin płatności wynosi </w:t>
      </w:r>
      <w:r w:rsidRPr="00C82664">
        <w:rPr>
          <w:b/>
          <w:bCs/>
        </w:rPr>
        <w:t>30 dni</w:t>
      </w:r>
      <w:r w:rsidRPr="00C82664">
        <w:t> od dnia doręczenia prawidłowej faktury.</w:t>
      </w:r>
    </w:p>
    <w:p w14:paraId="0C4BD5B2" w14:textId="77777777" w:rsidR="00C82664" w:rsidRDefault="00C82664" w:rsidP="00602625">
      <w:pPr>
        <w:numPr>
          <w:ilvl w:val="0"/>
          <w:numId w:val="46"/>
        </w:numPr>
        <w:jc w:val="both"/>
      </w:pPr>
      <w:r w:rsidRPr="00C82664">
        <w:t>Faktura musi zawierać oznaczenie: </w:t>
      </w:r>
      <w:r w:rsidRPr="00C82664">
        <w:rPr>
          <w:i/>
          <w:iCs/>
        </w:rPr>
        <w:t xml:space="preserve">„Rozwój usług cyfrowych i poprawa </w:t>
      </w:r>
      <w:proofErr w:type="spellStart"/>
      <w:r w:rsidRPr="00C82664">
        <w:rPr>
          <w:i/>
          <w:iCs/>
        </w:rPr>
        <w:t>cyberbezpieczeństwa</w:t>
      </w:r>
      <w:proofErr w:type="spellEnd"/>
      <w:r w:rsidRPr="00C82664">
        <w:rPr>
          <w:i/>
          <w:iCs/>
        </w:rPr>
        <w:t xml:space="preserve"> w Szpitalu Zakonu Bonifratrów pw. Aniołów Stróżów w Katowicach”, nr wniosku KPOD.07.03-IP.10-0131/25</w:t>
      </w:r>
      <w:r w:rsidRPr="00C82664">
        <w:t>.</w:t>
      </w:r>
    </w:p>
    <w:p w14:paraId="1DBBB85E" w14:textId="79F3B1C5" w:rsidR="00235777" w:rsidRDefault="00235777" w:rsidP="00235777">
      <w:pPr>
        <w:numPr>
          <w:ilvl w:val="0"/>
          <w:numId w:val="46"/>
        </w:numPr>
        <w:jc w:val="both"/>
      </w:pPr>
      <w:r>
        <w:t>Za dzień zapłaty uważa się dzień obciążenia rachunku bankowego Zamawiającego.</w:t>
      </w:r>
    </w:p>
    <w:p w14:paraId="7451586C" w14:textId="296D4D0A" w:rsidR="002E593C" w:rsidRDefault="00235777" w:rsidP="00235777">
      <w:pPr>
        <w:numPr>
          <w:ilvl w:val="0"/>
          <w:numId w:val="46"/>
        </w:numPr>
        <w:jc w:val="both"/>
      </w:pPr>
      <w:r>
        <w:t>Wykonawca zobowiązuje się względem Zamawiającego, iż rachunek bankowy wskazany przez Wykonawcę do rozliczeń, najpóźniej w ostatnim dniu terminu płatności wystawionej faktur VAT, widnieć będzie w elektronicznym wykazie podatników VAT (na tzw. „białej liście podatników VAT”) dostępnym w Biuletynie Informacji Publicznej Ministerstwa Finansów – Krajowej Administracji Skarbowej. W przypadku braku na moment realizacji płatności wskazanego powyżej rachunku bankowego w wykazie, o którym mowa w poprzednim zdaniu, Zamawiający będzie uprawniony do wstrzymania się z zapłatą należnego Wykonawcy wynagrodzenia bez narażania się na obowiązek zapłaty odsetek, kar umownych lub jakiekolwiek inne dodatkowe koszty czy opłaty. W takim przypadku brak zapłaty wynagrodzenia wynikającego z faktury nie będzie stanowił również podstawy/ przesłanki do rozwiązania umowy, z winy Zamawiającego.</w:t>
      </w:r>
    </w:p>
    <w:p w14:paraId="0EE5839D" w14:textId="7BCCB3A6" w:rsidR="00235777" w:rsidRPr="00C82664" w:rsidRDefault="00235777" w:rsidP="00235777">
      <w:pPr>
        <w:numPr>
          <w:ilvl w:val="0"/>
          <w:numId w:val="46"/>
        </w:numPr>
        <w:jc w:val="both"/>
      </w:pPr>
      <w:r>
        <w:t>Wykonawca nie może bez zgody Zamawiającego, wyrażonej, pod rygorem nieważności, na piśmie</w:t>
      </w:r>
      <w:r w:rsidR="00882214">
        <w:t>,</w:t>
      </w:r>
      <w:r>
        <w:t xml:space="preserve"> przenosić wierzytelności wynikających z niniejszej umowy, na osoby trzecie. </w:t>
      </w:r>
    </w:p>
    <w:p w14:paraId="5451BC6B" w14:textId="77777777" w:rsidR="00C82664" w:rsidRPr="00C82664" w:rsidRDefault="00C82664" w:rsidP="00C82664">
      <w:pPr>
        <w:rPr>
          <w:b/>
          <w:bCs/>
        </w:rPr>
      </w:pPr>
      <w:r w:rsidRPr="00C82664">
        <w:rPr>
          <w:b/>
          <w:bCs/>
        </w:rPr>
        <w:t>§ 8. ZABEZPIECZENIE FINANSOWE (ZABEZPIECZENIE ZWROTU WYNAGRODZENIA)</w:t>
      </w:r>
    </w:p>
    <w:p w14:paraId="5EB63BE5" w14:textId="2B00C259" w:rsidR="00C82664" w:rsidRPr="00C82664" w:rsidRDefault="00C82664" w:rsidP="00602625">
      <w:pPr>
        <w:numPr>
          <w:ilvl w:val="0"/>
          <w:numId w:val="47"/>
        </w:numPr>
        <w:jc w:val="both"/>
      </w:pPr>
      <w:r w:rsidRPr="00C82664">
        <w:t>Z uwagi na płatność wynagrodzenia za usługi ciągłe z góry (</w:t>
      </w:r>
      <w:proofErr w:type="spellStart"/>
      <w:r w:rsidRPr="00C82664">
        <w:t>pre-paid</w:t>
      </w:r>
      <w:proofErr w:type="spellEnd"/>
      <w:r w:rsidRPr="00C82664">
        <w:t>), Wykonawca zobowiązany jest do wniesienia </w:t>
      </w:r>
      <w:r w:rsidRPr="00C82664">
        <w:rPr>
          <w:b/>
          <w:bCs/>
        </w:rPr>
        <w:t>Zabezpieczenia Należytego Wykonania Umowy</w:t>
      </w:r>
      <w:r w:rsidRPr="00C82664">
        <w:t> w wysokości </w:t>
      </w:r>
      <w:r w:rsidR="008D7F5E">
        <w:rPr>
          <w:b/>
          <w:bCs/>
        </w:rPr>
        <w:t>5</w:t>
      </w:r>
      <w:r w:rsidRPr="00C82664">
        <w:rPr>
          <w:b/>
          <w:bCs/>
        </w:rPr>
        <w:t>% całkowitego wynagrodzenia brutto</w:t>
      </w:r>
      <w:r w:rsidRPr="00C82664">
        <w:t>.</w:t>
      </w:r>
    </w:p>
    <w:p w14:paraId="1024B708" w14:textId="77777777" w:rsidR="00C82664" w:rsidRPr="00C82664" w:rsidRDefault="00C82664" w:rsidP="00602625">
      <w:pPr>
        <w:numPr>
          <w:ilvl w:val="0"/>
          <w:numId w:val="47"/>
        </w:numPr>
        <w:jc w:val="both"/>
      </w:pPr>
      <w:r w:rsidRPr="00C82664">
        <w:t>Zabezpieczenie służy pokryciu roszczeń z tytułu niewykonania lub nienależytego wykonania umowy, w tym roszczeń o zwrot wynagrodzenia w przypadku zaprzestania świadczenia usług w Okresie Gwarancji Ciągłości.</w:t>
      </w:r>
    </w:p>
    <w:p w14:paraId="6B8E6487" w14:textId="77777777" w:rsidR="00C82664" w:rsidRPr="00C82664" w:rsidRDefault="00C82664" w:rsidP="00602625">
      <w:pPr>
        <w:numPr>
          <w:ilvl w:val="0"/>
          <w:numId w:val="47"/>
        </w:numPr>
        <w:jc w:val="both"/>
      </w:pPr>
      <w:r w:rsidRPr="00C82664">
        <w:t>Zabezpieczenie wnoszone jest najpóźniej w dniu wystawienia pierwszej faktury. Może mieć formę pieniężną, gwarancji bankowej lub ubezpieczeniowej.</w:t>
      </w:r>
    </w:p>
    <w:p w14:paraId="50B378D7" w14:textId="77777777" w:rsidR="00C82664" w:rsidRPr="00C82664" w:rsidRDefault="00C82664" w:rsidP="00602625">
      <w:pPr>
        <w:numPr>
          <w:ilvl w:val="0"/>
          <w:numId w:val="47"/>
        </w:numPr>
        <w:jc w:val="both"/>
      </w:pPr>
      <w:r w:rsidRPr="00C82664">
        <w:lastRenderedPageBreak/>
        <w:t>Zamawiający dopuszcza zwrot (zwolnienie) części zabezpieczenia w cyklach rocznych, proporcjonalnie do upływu okresu świadczenia usług, pod warunkiem należytego ich wykonywania. Ostateczny zwrot nastąpi w terminie 30 dni po upływie 36-miesięcznego okresu Gwarancji Ciągłości.</w:t>
      </w:r>
    </w:p>
    <w:p w14:paraId="102FBC3B" w14:textId="77777777" w:rsidR="00C82664" w:rsidRPr="00C82664" w:rsidRDefault="00C82664" w:rsidP="006B5E03">
      <w:pPr>
        <w:jc w:val="center"/>
        <w:rPr>
          <w:b/>
          <w:bCs/>
        </w:rPr>
      </w:pPr>
      <w:r w:rsidRPr="00C82664">
        <w:rPr>
          <w:b/>
          <w:bCs/>
        </w:rPr>
        <w:t>§ 9. KARY UMOWNE</w:t>
      </w:r>
    </w:p>
    <w:p w14:paraId="1254DB09" w14:textId="77777777" w:rsidR="00C82664" w:rsidRPr="00C82664" w:rsidRDefault="00C82664" w:rsidP="00C82664">
      <w:pPr>
        <w:numPr>
          <w:ilvl w:val="0"/>
          <w:numId w:val="48"/>
        </w:numPr>
      </w:pPr>
      <w:r w:rsidRPr="00C82664">
        <w:t>Wykonawca zapłaci Zamawiającemu kary umowne:</w:t>
      </w:r>
    </w:p>
    <w:p w14:paraId="5C639334" w14:textId="77777777" w:rsidR="00C82664" w:rsidRPr="00C82664" w:rsidRDefault="00C82664" w:rsidP="006A50F1">
      <w:pPr>
        <w:numPr>
          <w:ilvl w:val="1"/>
          <w:numId w:val="48"/>
        </w:numPr>
        <w:jc w:val="both"/>
      </w:pPr>
      <w:r w:rsidRPr="00C82664">
        <w:t>Za zwłokę w realizacji terminów wdrożeniowych (§ 4 ust. 1) – w wysokości </w:t>
      </w:r>
      <w:r w:rsidRPr="00C82664">
        <w:rPr>
          <w:b/>
          <w:bCs/>
        </w:rPr>
        <w:t>0,2%</w:t>
      </w:r>
      <w:r w:rsidRPr="00C82664">
        <w:t> wartości brutto danej Transzy za każdy dzień zwłoki.</w:t>
      </w:r>
    </w:p>
    <w:p w14:paraId="73130ECD" w14:textId="4B93EC17" w:rsidR="00C82664" w:rsidRPr="00C82664" w:rsidRDefault="00C82664" w:rsidP="006A50F1">
      <w:pPr>
        <w:numPr>
          <w:ilvl w:val="1"/>
          <w:numId w:val="48"/>
        </w:numPr>
        <w:jc w:val="both"/>
      </w:pPr>
      <w:r w:rsidRPr="00C82664">
        <w:t>Za przekroczenie czasu reakcji na Incydent Krytyczny (SLA) – w wysokości </w:t>
      </w:r>
      <w:r w:rsidRPr="00C82664">
        <w:rPr>
          <w:b/>
          <w:bCs/>
        </w:rPr>
        <w:t>500,00 PLN</w:t>
      </w:r>
      <w:r w:rsidRPr="00C82664">
        <w:t> za każdą rozpoczętą godzinę opóźnienia</w:t>
      </w:r>
      <w:r w:rsidR="00617E42">
        <w:t>, zaś w wypadku przekroczenia czasu reakcji na inne incydenty (SL</w:t>
      </w:r>
      <w:r w:rsidR="00CB4D00">
        <w:t>A</w:t>
      </w:r>
      <w:r w:rsidR="00617E42">
        <w:t xml:space="preserve">) – w wysokości  </w:t>
      </w:r>
      <w:r w:rsidR="00CB4D00">
        <w:t>100</w:t>
      </w:r>
      <w:r w:rsidR="00617E42">
        <w:t xml:space="preserve"> zł za każdą rozpoczętą godzinę opóźnienia</w:t>
      </w:r>
      <w:r w:rsidRPr="00C82664">
        <w:t>.</w:t>
      </w:r>
    </w:p>
    <w:p w14:paraId="3D2BB14E" w14:textId="77777777" w:rsidR="00C82664" w:rsidRPr="00C82664" w:rsidRDefault="00C82664" w:rsidP="006A50F1">
      <w:pPr>
        <w:numPr>
          <w:ilvl w:val="1"/>
          <w:numId w:val="48"/>
        </w:numPr>
        <w:jc w:val="both"/>
      </w:pPr>
      <w:r w:rsidRPr="00C82664">
        <w:t>Za niedostępność usługi SOC lub Platformy E-learningowej powyżej dopuszczalnego limitu SLA – w wysokości </w:t>
      </w:r>
      <w:r w:rsidRPr="00C82664">
        <w:rPr>
          <w:b/>
          <w:bCs/>
        </w:rPr>
        <w:t>1 000,00 PLN</w:t>
      </w:r>
      <w:r w:rsidRPr="00C82664">
        <w:t> za każdy taki przypadek.</w:t>
      </w:r>
    </w:p>
    <w:p w14:paraId="503DC74A" w14:textId="77777777" w:rsidR="00C82664" w:rsidRPr="00C82664" w:rsidRDefault="00C82664" w:rsidP="006A50F1">
      <w:pPr>
        <w:numPr>
          <w:ilvl w:val="1"/>
          <w:numId w:val="48"/>
        </w:numPr>
        <w:jc w:val="both"/>
      </w:pPr>
      <w:r w:rsidRPr="00C82664">
        <w:t>Za naruszenie obowiązków informacyjno-promocyjnych KPO – w wysokości </w:t>
      </w:r>
      <w:r w:rsidRPr="00C82664">
        <w:rPr>
          <w:b/>
          <w:bCs/>
        </w:rPr>
        <w:t>2 000,00 PLN</w:t>
      </w:r>
      <w:r w:rsidRPr="00C82664">
        <w:t> za każdy przypadek.</w:t>
      </w:r>
    </w:p>
    <w:p w14:paraId="6D13466F" w14:textId="215B5878" w:rsidR="00C82664" w:rsidRDefault="00C82664" w:rsidP="006A50F1">
      <w:pPr>
        <w:numPr>
          <w:ilvl w:val="1"/>
          <w:numId w:val="48"/>
        </w:numPr>
        <w:jc w:val="both"/>
      </w:pPr>
      <w:r w:rsidRPr="00C82664">
        <w:t>Za naruszenie zasad poufności, RODO lub DNSH – w wysokości </w:t>
      </w:r>
      <w:r w:rsidRPr="00C82664">
        <w:rPr>
          <w:b/>
          <w:bCs/>
        </w:rPr>
        <w:t>20 000,00 PLN</w:t>
      </w:r>
      <w:r w:rsidRPr="00C82664">
        <w:t> za każdy przypadek</w:t>
      </w:r>
      <w:r w:rsidR="00882214">
        <w:t xml:space="preserve"> naruszenia</w:t>
      </w:r>
      <w:r w:rsidRPr="00C82664">
        <w:t>.</w:t>
      </w:r>
    </w:p>
    <w:p w14:paraId="5CE88621" w14:textId="4055DBAA" w:rsidR="006A50F1" w:rsidRPr="00C82664" w:rsidRDefault="006A50F1" w:rsidP="006A50F1">
      <w:pPr>
        <w:pStyle w:val="Akapitzlist"/>
        <w:numPr>
          <w:ilvl w:val="1"/>
          <w:numId w:val="48"/>
        </w:numPr>
        <w:jc w:val="both"/>
      </w:pPr>
      <w:r w:rsidRPr="006A50F1">
        <w:t>Za zwłokę w relacji innych obowiązków</w:t>
      </w:r>
      <w:r>
        <w:t xml:space="preserve"> Wykonawcy, w stosunku do terminów określonych w umowie lub w OPZ – w wysokości </w:t>
      </w:r>
      <w:r w:rsidR="00697110">
        <w:t>500</w:t>
      </w:r>
      <w:r>
        <w:t xml:space="preserve"> zł, za każdy przypadek naruszenia. </w:t>
      </w:r>
    </w:p>
    <w:p w14:paraId="17820763" w14:textId="77777777" w:rsidR="00C82664" w:rsidRPr="00C82664" w:rsidRDefault="00C82664" w:rsidP="00602625">
      <w:pPr>
        <w:numPr>
          <w:ilvl w:val="1"/>
          <w:numId w:val="48"/>
        </w:numPr>
        <w:jc w:val="both"/>
      </w:pPr>
      <w:r w:rsidRPr="00C82664">
        <w:t>Za odstąpienie od Umowy z przyczyn leżących po stronie Wykonawcy – w wysokości </w:t>
      </w:r>
      <w:r w:rsidRPr="00C82664">
        <w:rPr>
          <w:b/>
          <w:bCs/>
        </w:rPr>
        <w:t>20%</w:t>
      </w:r>
      <w:r w:rsidRPr="00C82664">
        <w:t> całkowitego wynagrodzenia brutto.</w:t>
      </w:r>
    </w:p>
    <w:p w14:paraId="72622C91" w14:textId="77777777" w:rsidR="00C82664" w:rsidRDefault="00C82664" w:rsidP="00602625">
      <w:pPr>
        <w:numPr>
          <w:ilvl w:val="0"/>
          <w:numId w:val="48"/>
        </w:numPr>
        <w:jc w:val="both"/>
      </w:pPr>
      <w:r w:rsidRPr="00C82664">
        <w:t>Łączna wysokość kar umownych nie może przekroczyć </w:t>
      </w:r>
      <w:r w:rsidRPr="00C82664">
        <w:rPr>
          <w:b/>
          <w:bCs/>
        </w:rPr>
        <w:t>30%</w:t>
      </w:r>
      <w:r w:rsidRPr="00C82664">
        <w:t> całkowitego wynagrodzenia brutto. Kary podlegają łączeniu.</w:t>
      </w:r>
    </w:p>
    <w:p w14:paraId="436B3827" w14:textId="1127E8AF" w:rsidR="00602625" w:rsidRPr="00C82664" w:rsidRDefault="00602625" w:rsidP="00602625">
      <w:pPr>
        <w:numPr>
          <w:ilvl w:val="0"/>
          <w:numId w:val="48"/>
        </w:numPr>
        <w:jc w:val="both"/>
      </w:pPr>
      <w:r>
        <w:t xml:space="preserve">Zamawiający zastrzega sobie możliwość dochodzenia odszkodowania uzupełniającego, przenoszącego wysokość zastrzeżonych kar umownych, do wysokości rzeczywiście poniesionej szkody. </w:t>
      </w:r>
    </w:p>
    <w:p w14:paraId="3B549B15" w14:textId="77777777" w:rsidR="00C82664" w:rsidRPr="00C82664" w:rsidRDefault="00C82664" w:rsidP="00D81DFB">
      <w:pPr>
        <w:jc w:val="center"/>
        <w:rPr>
          <w:b/>
          <w:bCs/>
        </w:rPr>
      </w:pPr>
      <w:r w:rsidRPr="00C82664">
        <w:rPr>
          <w:b/>
          <w:bCs/>
        </w:rPr>
        <w:t>§ 10. OCHRONA DANYCH I POUFNOŚĆ</w:t>
      </w:r>
    </w:p>
    <w:p w14:paraId="639D6F1F" w14:textId="2017108E" w:rsidR="00842A10" w:rsidRDefault="00C82664" w:rsidP="00842A10">
      <w:pPr>
        <w:numPr>
          <w:ilvl w:val="0"/>
          <w:numId w:val="49"/>
        </w:numPr>
        <w:jc w:val="both"/>
      </w:pPr>
      <w:r w:rsidRPr="00C82664">
        <w:t>Strony zobowiązują się do zachowania poufności wszelkich informacji uzyskanych w związku z realizacją Umowy</w:t>
      </w:r>
      <w:r w:rsidR="00842A10">
        <w:t xml:space="preserve">, w tym w szczególności danych </w:t>
      </w:r>
      <w:r w:rsidR="00842A10" w:rsidRPr="00842A10">
        <w:t>dotyczących Zamawiającego, podmiotów z nim powiązanych</w:t>
      </w:r>
      <w:r w:rsidR="00842A10">
        <w:t>,</w:t>
      </w:r>
      <w:r w:rsidR="00842A10" w:rsidRPr="00842A10">
        <w:t xml:space="preserve"> informacji typu technicznego, technologicznego, handlowego, ekonomicznego, prawnego i organizacyjnego (domeny, adresy IP, wykorzystywane oprogramowanie, hasła dostępu, wszelkie kody, etc.), danych osobowych przetwarzanych przez Zamawiającego, adresów domen, adresów IP, wykorzystywanego oprogramowania, haseł dostępu, wszelkich kodów, jak również wszelkich innych informacji o podobnym charakterze, otrzymanych lub uzyskanych od Zamawiającego,</w:t>
      </w:r>
      <w:r w:rsidR="00842A10">
        <w:t xml:space="preserve"> </w:t>
      </w:r>
      <w:r w:rsidR="00842A10" w:rsidRPr="00842A10">
        <w:t xml:space="preserve">zwanych dalej „Informacjami Poufnymi”.  </w:t>
      </w:r>
    </w:p>
    <w:p w14:paraId="6ECFA16A" w14:textId="1C2DDB01" w:rsidR="00842A10" w:rsidRDefault="00842A10" w:rsidP="00842A10">
      <w:pPr>
        <w:numPr>
          <w:ilvl w:val="0"/>
          <w:numId w:val="49"/>
        </w:numPr>
        <w:jc w:val="both"/>
      </w:pPr>
      <w:r w:rsidRPr="00842A10">
        <w:lastRenderedPageBreak/>
        <w:t>Wykonawca zobowiązuje się nie ujawniać ani nie udostępniać osobom trzecim w jakiejkolwiek formie Informacji Poufnych, chyba że uzyska na takie ujawnienie lub udostępnienie uprzednią i pisemną pod rygorem nieważności zgodę Zamawiającego. W przypadku, gdy Wykonawca udostępnia lub ujawnia Informacje Poufne, zobowiązany jest</w:t>
      </w:r>
      <w:r w:rsidR="00B6415D">
        <w:t xml:space="preserve"> </w:t>
      </w:r>
      <w:r w:rsidRPr="00842A10">
        <w:t xml:space="preserve">zapewnić </w:t>
      </w:r>
      <w:r w:rsidR="00B6415D">
        <w:t xml:space="preserve">w umowie z tą osobą poziom ochrony </w:t>
      </w:r>
      <w:r w:rsidRPr="00842A10">
        <w:t xml:space="preserve">Informacji Poufnych co najmniej w takim samym zakresie jak obowiązek Wykonawcy do zachowania poufności wynikający z Umowy. Wykonawca jest w pełni odpowiedzialny za nieuprawnione ujawnienie i udostępnienie Informacji Poufnych przez osoby, którym ujawnia lub udostępnia Informacje Poufne.   </w:t>
      </w:r>
    </w:p>
    <w:p w14:paraId="318999CB" w14:textId="77777777" w:rsidR="00882214" w:rsidRDefault="00842A10" w:rsidP="00842A10">
      <w:pPr>
        <w:numPr>
          <w:ilvl w:val="0"/>
          <w:numId w:val="49"/>
        </w:numPr>
        <w:jc w:val="both"/>
      </w:pPr>
      <w:r w:rsidRPr="00842A10">
        <w:t>Obowiązek zachowania poufności przez Wykonawcę jest wyłączony gdy</w:t>
      </w:r>
      <w:r w:rsidR="00882214">
        <w:t>:</w:t>
      </w:r>
      <w:r w:rsidRPr="00842A10">
        <w:t xml:space="preserve"> </w:t>
      </w:r>
    </w:p>
    <w:p w14:paraId="64165A15" w14:textId="6402A009" w:rsidR="00882214" w:rsidRDefault="00842A10" w:rsidP="00B6415D">
      <w:pPr>
        <w:pStyle w:val="Akapitzlist"/>
        <w:numPr>
          <w:ilvl w:val="1"/>
          <w:numId w:val="49"/>
        </w:numPr>
        <w:ind w:left="709" w:hanging="283"/>
        <w:jc w:val="both"/>
      </w:pPr>
      <w:r w:rsidRPr="00842A10">
        <w:t>ujawnienia lub udostępnienia Informacji Poufnych wymagają uprawnione organy władzy publicznej na podstawie i w granicach obowiązujących przepisów prawa (w takim przypadku Wykonawca zobowiązany jest niezwłocznie poinformować</w:t>
      </w:r>
      <w:r>
        <w:t xml:space="preserve"> Zamawiającego</w:t>
      </w:r>
      <w:r w:rsidRPr="00842A10">
        <w:t xml:space="preserve"> o terminie i zakresie dokonanego udostępnienia lub ujawnienia);  </w:t>
      </w:r>
    </w:p>
    <w:p w14:paraId="231DFEB1" w14:textId="7FFD7D4F" w:rsidR="00882214" w:rsidRDefault="00842A10" w:rsidP="00B6415D">
      <w:pPr>
        <w:pStyle w:val="Akapitzlist"/>
        <w:numPr>
          <w:ilvl w:val="1"/>
          <w:numId w:val="49"/>
        </w:numPr>
        <w:ind w:left="709" w:hanging="283"/>
        <w:jc w:val="both"/>
      </w:pPr>
      <w:r w:rsidRPr="00842A10">
        <w:t xml:space="preserve">w odniesieniu do Informacji Poufnych, które są publicznie znane lub stały się publicznie znane w okolicznościach niestanowiących naruszenia przez Wykonawcę Umowy.  </w:t>
      </w:r>
    </w:p>
    <w:p w14:paraId="1B900C29" w14:textId="77777777" w:rsidR="00B6415D" w:rsidRDefault="00B6415D" w:rsidP="00B6415D">
      <w:pPr>
        <w:pStyle w:val="Akapitzlist"/>
        <w:ind w:left="709"/>
        <w:jc w:val="both"/>
      </w:pPr>
    </w:p>
    <w:p w14:paraId="6AB471CE" w14:textId="77777777" w:rsidR="00882214" w:rsidRDefault="00842A10" w:rsidP="00882214">
      <w:pPr>
        <w:pStyle w:val="Akapitzlist"/>
        <w:numPr>
          <w:ilvl w:val="0"/>
          <w:numId w:val="49"/>
        </w:numPr>
        <w:jc w:val="both"/>
      </w:pPr>
      <w:r w:rsidRPr="00842A10">
        <w:t>W ciągu 7 dni od otrzymania pisemnego żądania Zamawiającego, Wykonawca zobowiązuje się do zwrotu Zamawiającemu lub zniszczenia (według wyboru Zamawiającego) wszelkich posiadanych przez niego dokumentów i innych materiałów w jakiejkolwiek formie, zawierających Informacje Poufne</w:t>
      </w:r>
      <w:r w:rsidR="00882214">
        <w:t xml:space="preserve">. </w:t>
      </w:r>
      <w:r w:rsidRPr="00842A10">
        <w:t xml:space="preserve">Wykonawca nie ma prawa sporządzać ani zachować jakichkolwiek kopii Informacji Poufnych zapisanych na jakimkolwiek nośniku.  </w:t>
      </w:r>
    </w:p>
    <w:p w14:paraId="0D1B1D39" w14:textId="77777777" w:rsidR="00B6415D" w:rsidRDefault="00B6415D" w:rsidP="00B6415D">
      <w:pPr>
        <w:pStyle w:val="Akapitzlist"/>
        <w:jc w:val="both"/>
      </w:pPr>
    </w:p>
    <w:p w14:paraId="7D2FCB18" w14:textId="1090406A" w:rsidR="00C82664" w:rsidRPr="00C82664" w:rsidRDefault="00842A10" w:rsidP="00602625">
      <w:pPr>
        <w:numPr>
          <w:ilvl w:val="0"/>
          <w:numId w:val="49"/>
        </w:numPr>
        <w:jc w:val="both"/>
      </w:pPr>
      <w:r w:rsidRPr="00842A10">
        <w:t xml:space="preserve">Obowiązki przyjęte przez Wykonawcę na podstawie Umowy, w tym w zakresie odpowiedzialności za naruszenie obowiązku zachowania w tajemnicy Informacji Poufnych, nie są ograniczone w czasie. </w:t>
      </w:r>
      <w:r w:rsidR="00C82664" w:rsidRPr="00C82664">
        <w:t>Zasady przetwarzania danych osobowych reguluje odrębna </w:t>
      </w:r>
      <w:r w:rsidR="00C82664" w:rsidRPr="00C82664">
        <w:rPr>
          <w:b/>
          <w:bCs/>
        </w:rPr>
        <w:t>Umowa Powierzenia Przetwarzania Danych Osobowych</w:t>
      </w:r>
      <w:r w:rsidR="00C82664" w:rsidRPr="00C82664">
        <w:t>, stanowiąca Załącznik nr 3. Wykonawca zobowiązuje się do przetwarzania danych wyłącznie na terenie Europejskiego Obszaru Gospodarczego (EOG).</w:t>
      </w:r>
    </w:p>
    <w:p w14:paraId="2D8F5AC5" w14:textId="77777777" w:rsidR="00C82664" w:rsidRPr="00C82664" w:rsidRDefault="00C82664" w:rsidP="00D81DFB">
      <w:pPr>
        <w:jc w:val="center"/>
        <w:rPr>
          <w:b/>
          <w:bCs/>
        </w:rPr>
      </w:pPr>
      <w:r w:rsidRPr="00C82664">
        <w:rPr>
          <w:b/>
          <w:bCs/>
        </w:rPr>
        <w:t>§ 11. AUDYT I KONTROLA</w:t>
      </w:r>
    </w:p>
    <w:p w14:paraId="6F9A0590" w14:textId="77777777" w:rsidR="00C82664" w:rsidRPr="00C82664" w:rsidRDefault="00C82664" w:rsidP="00602625">
      <w:pPr>
        <w:numPr>
          <w:ilvl w:val="0"/>
          <w:numId w:val="50"/>
        </w:numPr>
        <w:jc w:val="both"/>
      </w:pPr>
      <w:r w:rsidRPr="00C82664">
        <w:t>Wykonawca zobowiązuje się poddać kontroli i audytowi w zakresie realizacji niniejszej Umowy, przeprowadzanym przez Zamawiającego oraz instytucje uprawnione do kontroli środków KPO, w tym: Komisję Europejską, Europejski Urząd ds. Zwalczania Nadużyć Finansowych (</w:t>
      </w:r>
      <w:r w:rsidRPr="00C82664">
        <w:rPr>
          <w:b/>
          <w:bCs/>
        </w:rPr>
        <w:t>OLAF</w:t>
      </w:r>
      <w:r w:rsidRPr="00C82664">
        <w:t>), Prokuraturę Europejską (</w:t>
      </w:r>
      <w:r w:rsidRPr="00C82664">
        <w:rPr>
          <w:b/>
          <w:bCs/>
        </w:rPr>
        <w:t>EPPO</w:t>
      </w:r>
      <w:r w:rsidRPr="00C82664">
        <w:t>), Europejski Trybunał Obrachunkowy oraz Instytucję Koordynującą KPO.</w:t>
      </w:r>
    </w:p>
    <w:p w14:paraId="02D468E4" w14:textId="77777777" w:rsidR="00C82664" w:rsidRPr="00C82664" w:rsidRDefault="00C82664" w:rsidP="00602625">
      <w:pPr>
        <w:numPr>
          <w:ilvl w:val="0"/>
          <w:numId w:val="50"/>
        </w:numPr>
        <w:jc w:val="both"/>
      </w:pPr>
      <w:r w:rsidRPr="00C82664">
        <w:t>Kontrola może obejmować wgląd w dokumenty finansowe, techniczne oraz systemy informatyczne Wykonawcy związane z realizacją zamówienia.</w:t>
      </w:r>
    </w:p>
    <w:p w14:paraId="29C8A4CF" w14:textId="77777777" w:rsidR="00C82664" w:rsidRPr="00C82664" w:rsidRDefault="00C82664" w:rsidP="00D81DFB">
      <w:pPr>
        <w:jc w:val="center"/>
        <w:rPr>
          <w:b/>
          <w:bCs/>
        </w:rPr>
      </w:pPr>
      <w:r w:rsidRPr="00C82664">
        <w:rPr>
          <w:b/>
          <w:bCs/>
        </w:rPr>
        <w:t>§ 12. ODSTĄPIENIE, ROZWIĄZANIE I EXIT PLAN</w:t>
      </w:r>
    </w:p>
    <w:p w14:paraId="1167529A" w14:textId="7E86906E" w:rsidR="00C82664" w:rsidRPr="00C82664" w:rsidRDefault="00C82664" w:rsidP="00602625">
      <w:pPr>
        <w:numPr>
          <w:ilvl w:val="0"/>
          <w:numId w:val="51"/>
        </w:numPr>
        <w:jc w:val="both"/>
      </w:pPr>
      <w:r w:rsidRPr="00C82664">
        <w:t xml:space="preserve">Zamawiający może odstąpić od Umowy w terminie 30 dni od powzięcia wiadomości o rażącym naruszeniu jej postanowień przez Wykonawcę, w szczególności w przypadku zwłoki </w:t>
      </w:r>
      <w:r w:rsidR="00602625">
        <w:t xml:space="preserve">w realizacji obowiązków umownych </w:t>
      </w:r>
      <w:r w:rsidRPr="00C82664">
        <w:t>przekraczającej 30 dni lub utraty certyfikacji partnerskiej producenta oprogramowania.</w:t>
      </w:r>
    </w:p>
    <w:p w14:paraId="43D8874E" w14:textId="77777777" w:rsidR="00C82664" w:rsidRPr="00C82664" w:rsidRDefault="00C82664" w:rsidP="00602625">
      <w:pPr>
        <w:numPr>
          <w:ilvl w:val="0"/>
          <w:numId w:val="51"/>
        </w:numPr>
        <w:jc w:val="both"/>
      </w:pPr>
      <w:proofErr w:type="spellStart"/>
      <w:r w:rsidRPr="00C82664">
        <w:rPr>
          <w:b/>
          <w:bCs/>
        </w:rPr>
        <w:lastRenderedPageBreak/>
        <w:t>Exit</w:t>
      </w:r>
      <w:proofErr w:type="spellEnd"/>
      <w:r w:rsidRPr="00C82664">
        <w:rPr>
          <w:b/>
          <w:bCs/>
        </w:rPr>
        <w:t xml:space="preserve"> Plan:</w:t>
      </w:r>
      <w:r w:rsidRPr="00C82664">
        <w:t> W przypadku wygaśnięcia lub rozwiązania Umowy, Wykonawca zobowiązany jest do przeprowadzenia bezpłatnego transferu wiedzy i danych, obejmującego:</w:t>
      </w:r>
    </w:p>
    <w:p w14:paraId="64CB9F5D" w14:textId="77777777" w:rsidR="00C82664" w:rsidRPr="00C82664" w:rsidRDefault="00C82664" w:rsidP="00602625">
      <w:pPr>
        <w:numPr>
          <w:ilvl w:val="1"/>
          <w:numId w:val="51"/>
        </w:numPr>
        <w:jc w:val="both"/>
      </w:pPr>
      <w:r w:rsidRPr="00C82664">
        <w:t>Eksport wszystkich logów i raportów w formacie otwartym (np. CSV, JSON);</w:t>
      </w:r>
    </w:p>
    <w:p w14:paraId="72AD9F6E" w14:textId="77777777" w:rsidR="00C82664" w:rsidRPr="00C82664" w:rsidRDefault="00C82664" w:rsidP="00602625">
      <w:pPr>
        <w:numPr>
          <w:ilvl w:val="1"/>
          <w:numId w:val="51"/>
        </w:numPr>
        <w:jc w:val="both"/>
      </w:pPr>
      <w:r w:rsidRPr="00C82664">
        <w:t>Przekazanie haseł, kluczy szyfrujących i konfiguracji systemów;</w:t>
      </w:r>
    </w:p>
    <w:p w14:paraId="09CA2757" w14:textId="4146BB0E" w:rsidR="00C82664" w:rsidRPr="00C82664" w:rsidRDefault="00C82664" w:rsidP="00602625">
      <w:pPr>
        <w:numPr>
          <w:ilvl w:val="1"/>
          <w:numId w:val="51"/>
        </w:numPr>
        <w:jc w:val="both"/>
      </w:pPr>
      <w:r w:rsidRPr="00C82664">
        <w:t>Trwałe usunięcie danych Zamawiającego ze swoich systemów po potwierdzeniu odbioru. Niedokonanie tych czynności uprawnia Zamawiającego do naliczenia kary umownej w wysokości 10% wynagrodzenia brutto.</w:t>
      </w:r>
      <w:r w:rsidR="004625A0">
        <w:t xml:space="preserve"> Zamawiający zastrzega sobie możliwość dochodzenia odszkodowania uzupełniającego do wysokości rzeczywiście poniesionej szkody.</w:t>
      </w:r>
    </w:p>
    <w:p w14:paraId="2B53E922" w14:textId="77777777" w:rsidR="00C82664" w:rsidRPr="00C82664" w:rsidRDefault="00C82664" w:rsidP="00D81DFB">
      <w:pPr>
        <w:jc w:val="center"/>
        <w:rPr>
          <w:b/>
          <w:bCs/>
        </w:rPr>
      </w:pPr>
      <w:r w:rsidRPr="00C82664">
        <w:rPr>
          <w:b/>
          <w:bCs/>
        </w:rPr>
        <w:t>§ 13. ZMIANY UMOWY</w:t>
      </w:r>
    </w:p>
    <w:p w14:paraId="4D237D7D" w14:textId="367D93FE" w:rsidR="00C82664" w:rsidRPr="00C82664" w:rsidRDefault="00C82664" w:rsidP="00602625">
      <w:pPr>
        <w:numPr>
          <w:ilvl w:val="0"/>
          <w:numId w:val="52"/>
        </w:numPr>
        <w:jc w:val="both"/>
      </w:pPr>
      <w:r w:rsidRPr="00C82664">
        <w:t>Wszelkie zmiany</w:t>
      </w:r>
      <w:r w:rsidR="00602625">
        <w:t xml:space="preserve"> lub uzupełnienia</w:t>
      </w:r>
      <w:r w:rsidRPr="00C82664">
        <w:t xml:space="preserve"> Umowy wymagają formy pisemnej lub elektronicznej</w:t>
      </w:r>
      <w:r w:rsidR="00602625">
        <w:t xml:space="preserve"> (opatrzonej kwalifikowanymi podpisami elektronicznymi),</w:t>
      </w:r>
      <w:r w:rsidRPr="00C82664">
        <w:t xml:space="preserve"> pod rygorem nieważności.</w:t>
      </w:r>
    </w:p>
    <w:p w14:paraId="659210D4" w14:textId="77777777" w:rsidR="00C82664" w:rsidRPr="00C82664" w:rsidRDefault="00C82664" w:rsidP="00602625">
      <w:pPr>
        <w:numPr>
          <w:ilvl w:val="0"/>
          <w:numId w:val="52"/>
        </w:numPr>
        <w:jc w:val="both"/>
      </w:pPr>
      <w:r w:rsidRPr="00C82664">
        <w:t>Zamawiający przewiduje możliwość zmiany Umowy w przypadkach określonych w Zapytaniu Ofertowym oraz w przypadku wystąpienia Siły Wyższej lub zmian w przepisach prawa (np. stawki VAT).</w:t>
      </w:r>
    </w:p>
    <w:p w14:paraId="2F9C8EDA" w14:textId="77777777" w:rsidR="00C82664" w:rsidRPr="00C82664" w:rsidRDefault="00C82664" w:rsidP="00D81DFB">
      <w:pPr>
        <w:jc w:val="center"/>
        <w:rPr>
          <w:b/>
          <w:bCs/>
        </w:rPr>
      </w:pPr>
      <w:r w:rsidRPr="00C82664">
        <w:rPr>
          <w:b/>
          <w:bCs/>
        </w:rPr>
        <w:t>§ 14. POSTANOWIENIA KOŃCOWE</w:t>
      </w:r>
    </w:p>
    <w:p w14:paraId="24210203" w14:textId="24BFC0FF" w:rsidR="00C82664" w:rsidRPr="00C82664" w:rsidRDefault="00C82664" w:rsidP="00235777">
      <w:pPr>
        <w:numPr>
          <w:ilvl w:val="0"/>
          <w:numId w:val="53"/>
        </w:numPr>
        <w:jc w:val="both"/>
      </w:pPr>
      <w:r w:rsidRPr="00C82664">
        <w:t xml:space="preserve">W sprawach nieuregulowanych </w:t>
      </w:r>
      <w:r w:rsidR="004625A0">
        <w:t xml:space="preserve">w umowie </w:t>
      </w:r>
      <w:r w:rsidRPr="00C82664">
        <w:t>mają zastosowanie przepisy Kodeksu Cywilnego, Ustawy o Prawie Autorskim i Prawach Pokrewnych oraz wytyczne programowe KPO.</w:t>
      </w:r>
    </w:p>
    <w:p w14:paraId="2156E523" w14:textId="77777777" w:rsidR="00C82664" w:rsidRPr="00C82664" w:rsidRDefault="00C82664" w:rsidP="00235777">
      <w:pPr>
        <w:numPr>
          <w:ilvl w:val="0"/>
          <w:numId w:val="53"/>
        </w:numPr>
        <w:jc w:val="both"/>
      </w:pPr>
      <w:r w:rsidRPr="00C82664">
        <w:t>Sądem właściwym dla rozstrzygania sporów jest sąd właściwy dla siedziby Zamawiającego.</w:t>
      </w:r>
    </w:p>
    <w:p w14:paraId="1DA14476" w14:textId="77777777" w:rsidR="00C82664" w:rsidRDefault="00C82664" w:rsidP="00235777">
      <w:pPr>
        <w:numPr>
          <w:ilvl w:val="0"/>
          <w:numId w:val="53"/>
        </w:numPr>
        <w:jc w:val="both"/>
      </w:pPr>
      <w:r w:rsidRPr="00C82664">
        <w:t>Umowę sporządzono w dwóch jednobrzmiących egzemplarzach (lub w formie elektronicznej opatrzonej kwalifikowanymi podpisami).</w:t>
      </w:r>
    </w:p>
    <w:p w14:paraId="3D5FB2AF" w14:textId="5F20B27E" w:rsidR="00235777" w:rsidRPr="00C82664" w:rsidRDefault="00235777" w:rsidP="00235777">
      <w:pPr>
        <w:numPr>
          <w:ilvl w:val="0"/>
          <w:numId w:val="53"/>
        </w:numPr>
        <w:jc w:val="both"/>
      </w:pPr>
      <w:r>
        <w:t xml:space="preserve">Zamawiający </w:t>
      </w:r>
      <w:r w:rsidRPr="00235777">
        <w:t>oświadcza, że posiada status dużego przedsiębiorcy w rozumieniu załącznika I do rozporządzenia Komisji (UE) nr 651/2014 z dnia 17 czerwca 2014 r. Uznającego niektóre rodzaje pomocy za zgodne z rynkiem wewnętrznym w zastosowaniu art. 107 i art. 108 Traktatu (Dziennik Urzędowy UE L 187 z 26.06.2014, s. 1, z późniejszymi zmianami).</w:t>
      </w:r>
    </w:p>
    <w:p w14:paraId="4ECC270D" w14:textId="77777777" w:rsidR="00C82664" w:rsidRPr="00C82664" w:rsidRDefault="00C82664" w:rsidP="00C82664">
      <w:r w:rsidRPr="00C82664">
        <w:rPr>
          <w:b/>
          <w:bCs/>
        </w:rPr>
        <w:t>ZAŁĄCZNIKI:</w:t>
      </w:r>
    </w:p>
    <w:p w14:paraId="090302CE" w14:textId="77777777" w:rsidR="00C82664" w:rsidRPr="00C82664" w:rsidRDefault="00C82664" w:rsidP="00C82664">
      <w:pPr>
        <w:numPr>
          <w:ilvl w:val="0"/>
          <w:numId w:val="54"/>
        </w:numPr>
      </w:pPr>
      <w:r w:rsidRPr="00C82664">
        <w:t>Opis Przedmiotu Zamówienia (OPZ).</w:t>
      </w:r>
    </w:p>
    <w:p w14:paraId="538F4D96" w14:textId="77777777" w:rsidR="00C82664" w:rsidRPr="00C82664" w:rsidRDefault="00C82664" w:rsidP="00C82664">
      <w:pPr>
        <w:numPr>
          <w:ilvl w:val="0"/>
          <w:numId w:val="54"/>
        </w:numPr>
      </w:pPr>
      <w:r w:rsidRPr="00C82664">
        <w:t>Oferta Wykonawcy.</w:t>
      </w:r>
    </w:p>
    <w:p w14:paraId="3BA04889" w14:textId="77777777" w:rsidR="00C82664" w:rsidRPr="00C82664" w:rsidRDefault="00C82664" w:rsidP="00C82664">
      <w:pPr>
        <w:numPr>
          <w:ilvl w:val="0"/>
          <w:numId w:val="54"/>
        </w:numPr>
      </w:pPr>
      <w:r w:rsidRPr="00C82664">
        <w:t>Umowa Powierzenia Przetwarzania Danych Osobowych.</w:t>
      </w:r>
    </w:p>
    <w:p w14:paraId="0F0B8FD5" w14:textId="77777777" w:rsidR="00C82664" w:rsidRPr="00C82664" w:rsidRDefault="00C82664" w:rsidP="00C82664">
      <w:pPr>
        <w:numPr>
          <w:ilvl w:val="0"/>
          <w:numId w:val="54"/>
        </w:numPr>
      </w:pPr>
      <w:r w:rsidRPr="00C82664">
        <w:t>Wzór Protokołu Odbioru.</w:t>
      </w:r>
    </w:p>
    <w:p w14:paraId="4EABA801" w14:textId="77777777" w:rsidR="00D81DFB" w:rsidRDefault="00D81DFB" w:rsidP="00C82664">
      <w:pPr>
        <w:rPr>
          <w:b/>
          <w:bCs/>
        </w:rPr>
      </w:pPr>
    </w:p>
    <w:p w14:paraId="342F497A" w14:textId="77777777" w:rsidR="00D81DFB" w:rsidRDefault="00D81DFB" w:rsidP="00C82664">
      <w:pPr>
        <w:rPr>
          <w:b/>
          <w:bCs/>
        </w:rPr>
      </w:pPr>
    </w:p>
    <w:p w14:paraId="24DDF355" w14:textId="1DF0D910" w:rsidR="00880791" w:rsidRPr="00C82664" w:rsidRDefault="00C82664" w:rsidP="00697110">
      <w:pPr>
        <w:jc w:val="center"/>
      </w:pPr>
      <w:r w:rsidRPr="00C82664">
        <w:rPr>
          <w:b/>
          <w:bCs/>
        </w:rPr>
        <w:t>ZAMAWIAJĄCY</w:t>
      </w:r>
      <w:r w:rsidRPr="00C82664">
        <w:t> </w:t>
      </w:r>
      <w:r w:rsidR="00D81DFB">
        <w:tab/>
      </w:r>
      <w:r w:rsidR="00D81DFB">
        <w:tab/>
      </w:r>
      <w:r w:rsidR="00D81DFB">
        <w:tab/>
      </w:r>
      <w:r w:rsidR="00D81DFB">
        <w:tab/>
      </w:r>
      <w:r w:rsidRPr="00C82664">
        <w:rPr>
          <w:b/>
          <w:bCs/>
        </w:rPr>
        <w:t>WYKONAWC</w:t>
      </w:r>
      <w:r w:rsidR="00697110">
        <w:rPr>
          <w:b/>
          <w:bCs/>
        </w:rPr>
        <w:t>A</w:t>
      </w:r>
    </w:p>
    <w:sectPr w:rsidR="00880791" w:rsidRPr="00C82664" w:rsidSect="0017622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CE7BC" w14:textId="77777777" w:rsidR="00D328C7" w:rsidRDefault="00D328C7" w:rsidP="00A331E4">
      <w:pPr>
        <w:spacing w:after="0" w:line="240" w:lineRule="auto"/>
      </w:pPr>
      <w:r>
        <w:separator/>
      </w:r>
    </w:p>
  </w:endnote>
  <w:endnote w:type="continuationSeparator" w:id="0">
    <w:p w14:paraId="3E5FF036" w14:textId="77777777" w:rsidR="00D328C7" w:rsidRDefault="00D328C7" w:rsidP="00A33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4EAC1" w14:textId="77777777" w:rsidR="00A331E4" w:rsidRDefault="00A331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3924C" w14:textId="77777777" w:rsidR="00A331E4" w:rsidRDefault="00A331E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1EC8C" w14:textId="77777777" w:rsidR="00A331E4" w:rsidRDefault="00A331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688F9" w14:textId="77777777" w:rsidR="00D328C7" w:rsidRDefault="00D328C7" w:rsidP="00A331E4">
      <w:pPr>
        <w:spacing w:after="0" w:line="240" w:lineRule="auto"/>
      </w:pPr>
      <w:r>
        <w:separator/>
      </w:r>
    </w:p>
  </w:footnote>
  <w:footnote w:type="continuationSeparator" w:id="0">
    <w:p w14:paraId="791C5C31" w14:textId="77777777" w:rsidR="00D328C7" w:rsidRDefault="00D328C7" w:rsidP="00A331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5252A" w14:textId="77777777" w:rsidR="00A331E4" w:rsidRDefault="00A331E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067D8" w14:textId="006C731B" w:rsidR="00A331E4" w:rsidRDefault="00A331E4">
    <w:pPr>
      <w:pStyle w:val="Nagwek"/>
    </w:pPr>
    <w:r>
      <w:rPr>
        <w:noProof/>
      </w:rPr>
      <w:drawing>
        <wp:inline distT="0" distB="0" distL="0" distR="0" wp14:anchorId="5B8887C8" wp14:editId="1FCDED9C">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182974" w14:textId="77777777" w:rsidR="00A331E4" w:rsidRDefault="00A331E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534E"/>
    <w:multiLevelType w:val="multilevel"/>
    <w:tmpl w:val="3F006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BC6676"/>
    <w:multiLevelType w:val="multilevel"/>
    <w:tmpl w:val="142AE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4315AE"/>
    <w:multiLevelType w:val="multilevel"/>
    <w:tmpl w:val="E49A6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B77DA9"/>
    <w:multiLevelType w:val="multilevel"/>
    <w:tmpl w:val="373A3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A5875A9"/>
    <w:multiLevelType w:val="multilevel"/>
    <w:tmpl w:val="58760B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892E1D"/>
    <w:multiLevelType w:val="multilevel"/>
    <w:tmpl w:val="848EC1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FF3466"/>
    <w:multiLevelType w:val="hybridMultilevel"/>
    <w:tmpl w:val="EBCA2F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292304"/>
    <w:multiLevelType w:val="multilevel"/>
    <w:tmpl w:val="FF08A4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2E62E1F"/>
    <w:multiLevelType w:val="multilevel"/>
    <w:tmpl w:val="4BBE13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6CB28AD"/>
    <w:multiLevelType w:val="multilevel"/>
    <w:tmpl w:val="38543B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DD74AF"/>
    <w:multiLevelType w:val="multilevel"/>
    <w:tmpl w:val="60F29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F455E9"/>
    <w:multiLevelType w:val="hybridMultilevel"/>
    <w:tmpl w:val="214A95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D215A1"/>
    <w:multiLevelType w:val="multilevel"/>
    <w:tmpl w:val="D2D82A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CA1204"/>
    <w:multiLevelType w:val="multilevel"/>
    <w:tmpl w:val="AF165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0616A9"/>
    <w:multiLevelType w:val="hybridMultilevel"/>
    <w:tmpl w:val="75DE35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322547"/>
    <w:multiLevelType w:val="multilevel"/>
    <w:tmpl w:val="78E8BF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8065EF"/>
    <w:multiLevelType w:val="multilevel"/>
    <w:tmpl w:val="B91C10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DB5632"/>
    <w:multiLevelType w:val="hybridMultilevel"/>
    <w:tmpl w:val="FEDA8578"/>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32EA7854"/>
    <w:multiLevelType w:val="multilevel"/>
    <w:tmpl w:val="19AAEF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835E04"/>
    <w:multiLevelType w:val="hybridMultilevel"/>
    <w:tmpl w:val="886076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A687501"/>
    <w:multiLevelType w:val="multilevel"/>
    <w:tmpl w:val="EA80BE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CA073D9"/>
    <w:multiLevelType w:val="hybridMultilevel"/>
    <w:tmpl w:val="5A3AE1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CD46F5"/>
    <w:multiLevelType w:val="multilevel"/>
    <w:tmpl w:val="F27AC7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2E18F4"/>
    <w:multiLevelType w:val="multilevel"/>
    <w:tmpl w:val="EBA4A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6B5CFA"/>
    <w:multiLevelType w:val="multilevel"/>
    <w:tmpl w:val="7B1E8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784363"/>
    <w:multiLevelType w:val="hybridMultilevel"/>
    <w:tmpl w:val="296679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E06A83"/>
    <w:multiLevelType w:val="hybridMultilevel"/>
    <w:tmpl w:val="D8721A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F82F52"/>
    <w:multiLevelType w:val="multilevel"/>
    <w:tmpl w:val="29B8E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57142D7"/>
    <w:multiLevelType w:val="multilevel"/>
    <w:tmpl w:val="F970D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5D66D38"/>
    <w:multiLevelType w:val="multilevel"/>
    <w:tmpl w:val="9FC84C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B6502D1"/>
    <w:multiLevelType w:val="multilevel"/>
    <w:tmpl w:val="91FE3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5D6695"/>
    <w:multiLevelType w:val="multilevel"/>
    <w:tmpl w:val="687E26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1287BF0"/>
    <w:multiLevelType w:val="multilevel"/>
    <w:tmpl w:val="E8244D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27728C6"/>
    <w:multiLevelType w:val="hybridMultilevel"/>
    <w:tmpl w:val="D26034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D321BE"/>
    <w:multiLevelType w:val="multilevel"/>
    <w:tmpl w:val="613EF0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D67D0E"/>
    <w:multiLevelType w:val="multilevel"/>
    <w:tmpl w:val="B9989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72A7A29"/>
    <w:multiLevelType w:val="multilevel"/>
    <w:tmpl w:val="9ABA79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7F613F7"/>
    <w:multiLevelType w:val="multilevel"/>
    <w:tmpl w:val="1C7AFB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9BF1161"/>
    <w:multiLevelType w:val="multilevel"/>
    <w:tmpl w:val="B672E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AD66475"/>
    <w:multiLevelType w:val="multilevel"/>
    <w:tmpl w:val="396A17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B160942"/>
    <w:multiLevelType w:val="multilevel"/>
    <w:tmpl w:val="A2EA8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BDF2AEE"/>
    <w:multiLevelType w:val="multilevel"/>
    <w:tmpl w:val="9D2872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C7E6D17"/>
    <w:multiLevelType w:val="multilevel"/>
    <w:tmpl w:val="93580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FB968D1"/>
    <w:multiLevelType w:val="hybridMultilevel"/>
    <w:tmpl w:val="711CA7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054471"/>
    <w:multiLevelType w:val="multilevel"/>
    <w:tmpl w:val="E698D9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B9232A"/>
    <w:multiLevelType w:val="hybridMultilevel"/>
    <w:tmpl w:val="84E8437C"/>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6" w15:restartNumberingAfterBreak="0">
    <w:nsid w:val="7551631C"/>
    <w:multiLevelType w:val="multilevel"/>
    <w:tmpl w:val="FDBCB0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7095E36"/>
    <w:multiLevelType w:val="multilevel"/>
    <w:tmpl w:val="04684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AA435BD"/>
    <w:multiLevelType w:val="hybridMultilevel"/>
    <w:tmpl w:val="A42E22FC"/>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num w:numId="1" w16cid:durableId="497580568">
    <w:abstractNumId w:val="30"/>
  </w:num>
  <w:num w:numId="2" w16cid:durableId="1967421165">
    <w:abstractNumId w:val="27"/>
  </w:num>
  <w:num w:numId="3" w16cid:durableId="2024474366">
    <w:abstractNumId w:val="24"/>
  </w:num>
  <w:num w:numId="4" w16cid:durableId="1554002775">
    <w:abstractNumId w:val="47"/>
  </w:num>
  <w:num w:numId="5" w16cid:durableId="1808467922">
    <w:abstractNumId w:val="32"/>
  </w:num>
  <w:num w:numId="6" w16cid:durableId="1504394137">
    <w:abstractNumId w:val="18"/>
  </w:num>
  <w:num w:numId="7" w16cid:durableId="1158036853">
    <w:abstractNumId w:val="16"/>
  </w:num>
  <w:num w:numId="8" w16cid:durableId="854148920">
    <w:abstractNumId w:val="37"/>
  </w:num>
  <w:num w:numId="9" w16cid:durableId="796147468">
    <w:abstractNumId w:val="34"/>
  </w:num>
  <w:num w:numId="10" w16cid:durableId="271783235">
    <w:abstractNumId w:val="31"/>
  </w:num>
  <w:num w:numId="11" w16cid:durableId="1996257898">
    <w:abstractNumId w:val="36"/>
  </w:num>
  <w:num w:numId="12" w16cid:durableId="1620647056">
    <w:abstractNumId w:val="36"/>
    <w:lvlOverride w:ilvl="1">
      <w:startOverride w:val="2"/>
    </w:lvlOverride>
  </w:num>
  <w:num w:numId="13" w16cid:durableId="196819295">
    <w:abstractNumId w:val="10"/>
  </w:num>
  <w:num w:numId="14" w16cid:durableId="1856649393">
    <w:abstractNumId w:val="10"/>
    <w:lvlOverride w:ilvl="1">
      <w:startOverride w:val="2"/>
    </w:lvlOverride>
  </w:num>
  <w:num w:numId="15" w16cid:durableId="2052411939">
    <w:abstractNumId w:val="10"/>
    <w:lvlOverride w:ilvl="1">
      <w:startOverride w:val="2"/>
    </w:lvlOverride>
  </w:num>
  <w:num w:numId="16" w16cid:durableId="1960799127">
    <w:abstractNumId w:val="12"/>
  </w:num>
  <w:num w:numId="17" w16cid:durableId="1839928820">
    <w:abstractNumId w:val="12"/>
    <w:lvlOverride w:ilvl="1">
      <w:startOverride w:val="2"/>
    </w:lvlOverride>
  </w:num>
  <w:num w:numId="18" w16cid:durableId="938412794">
    <w:abstractNumId w:val="4"/>
  </w:num>
  <w:num w:numId="19" w16cid:durableId="1791823924">
    <w:abstractNumId w:val="23"/>
  </w:num>
  <w:num w:numId="20" w16cid:durableId="1373001158">
    <w:abstractNumId w:val="22"/>
  </w:num>
  <w:num w:numId="21" w16cid:durableId="563417309">
    <w:abstractNumId w:val="29"/>
  </w:num>
  <w:num w:numId="22" w16cid:durableId="901867913">
    <w:abstractNumId w:val="9"/>
  </w:num>
  <w:num w:numId="23" w16cid:durableId="147408513">
    <w:abstractNumId w:val="9"/>
    <w:lvlOverride w:ilvl="1">
      <w:startOverride w:val="2"/>
    </w:lvlOverride>
  </w:num>
  <w:num w:numId="24" w16cid:durableId="538516053">
    <w:abstractNumId w:val="28"/>
  </w:num>
  <w:num w:numId="25" w16cid:durableId="859195989">
    <w:abstractNumId w:val="38"/>
  </w:num>
  <w:num w:numId="26" w16cid:durableId="1931035682">
    <w:abstractNumId w:val="11"/>
  </w:num>
  <w:num w:numId="27" w16cid:durableId="1297956212">
    <w:abstractNumId w:val="14"/>
  </w:num>
  <w:num w:numId="28" w16cid:durableId="1346398921">
    <w:abstractNumId w:val="33"/>
  </w:num>
  <w:num w:numId="29" w16cid:durableId="256060916">
    <w:abstractNumId w:val="25"/>
  </w:num>
  <w:num w:numId="30" w16cid:durableId="457337193">
    <w:abstractNumId w:val="21"/>
  </w:num>
  <w:num w:numId="31" w16cid:durableId="773091388">
    <w:abstractNumId w:val="6"/>
  </w:num>
  <w:num w:numId="32" w16cid:durableId="1494367715">
    <w:abstractNumId w:val="45"/>
  </w:num>
  <w:num w:numId="33" w16cid:durableId="771895773">
    <w:abstractNumId w:val="43"/>
  </w:num>
  <w:num w:numId="34" w16cid:durableId="1336762138">
    <w:abstractNumId w:val="17"/>
  </w:num>
  <w:num w:numId="35" w16cid:durableId="2049836900">
    <w:abstractNumId w:val="19"/>
  </w:num>
  <w:num w:numId="36" w16cid:durableId="389573231">
    <w:abstractNumId w:val="48"/>
  </w:num>
  <w:num w:numId="37" w16cid:durableId="766854884">
    <w:abstractNumId w:val="26"/>
  </w:num>
  <w:num w:numId="38" w16cid:durableId="1963340021">
    <w:abstractNumId w:val="46"/>
  </w:num>
  <w:num w:numId="39" w16cid:durableId="694186700">
    <w:abstractNumId w:val="35"/>
  </w:num>
  <w:num w:numId="40" w16cid:durableId="1990360452">
    <w:abstractNumId w:val="20"/>
  </w:num>
  <w:num w:numId="41" w16cid:durableId="1945578535">
    <w:abstractNumId w:val="44"/>
  </w:num>
  <w:num w:numId="42" w16cid:durableId="606619756">
    <w:abstractNumId w:val="2"/>
  </w:num>
  <w:num w:numId="43" w16cid:durableId="828400195">
    <w:abstractNumId w:val="8"/>
  </w:num>
  <w:num w:numId="44" w16cid:durableId="744960550">
    <w:abstractNumId w:val="42"/>
  </w:num>
  <w:num w:numId="45" w16cid:durableId="919876533">
    <w:abstractNumId w:val="15"/>
  </w:num>
  <w:num w:numId="46" w16cid:durableId="1954512780">
    <w:abstractNumId w:val="39"/>
  </w:num>
  <w:num w:numId="47" w16cid:durableId="472717960">
    <w:abstractNumId w:val="1"/>
  </w:num>
  <w:num w:numId="48" w16cid:durableId="405684804">
    <w:abstractNumId w:val="7"/>
  </w:num>
  <w:num w:numId="49" w16cid:durableId="1799101294">
    <w:abstractNumId w:val="41"/>
  </w:num>
  <w:num w:numId="50" w16cid:durableId="1743869527">
    <w:abstractNumId w:val="0"/>
  </w:num>
  <w:num w:numId="51" w16cid:durableId="632566639">
    <w:abstractNumId w:val="5"/>
  </w:num>
  <w:num w:numId="52" w16cid:durableId="1133333912">
    <w:abstractNumId w:val="40"/>
  </w:num>
  <w:num w:numId="53" w16cid:durableId="950666100">
    <w:abstractNumId w:val="3"/>
  </w:num>
  <w:num w:numId="54" w16cid:durableId="1747535173">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34A"/>
    <w:rsid w:val="00073175"/>
    <w:rsid w:val="00081A76"/>
    <w:rsid w:val="00094CD0"/>
    <w:rsid w:val="00105D09"/>
    <w:rsid w:val="00112C11"/>
    <w:rsid w:val="001217A9"/>
    <w:rsid w:val="00121C2D"/>
    <w:rsid w:val="0012207F"/>
    <w:rsid w:val="00176221"/>
    <w:rsid w:val="001D4A23"/>
    <w:rsid w:val="002010FA"/>
    <w:rsid w:val="00214242"/>
    <w:rsid w:val="00235777"/>
    <w:rsid w:val="002C6E77"/>
    <w:rsid w:val="002E593C"/>
    <w:rsid w:val="0032686B"/>
    <w:rsid w:val="0034798B"/>
    <w:rsid w:val="003D666D"/>
    <w:rsid w:val="004023AD"/>
    <w:rsid w:val="004142A5"/>
    <w:rsid w:val="004625A0"/>
    <w:rsid w:val="004638A2"/>
    <w:rsid w:val="004B543B"/>
    <w:rsid w:val="00542E96"/>
    <w:rsid w:val="00554659"/>
    <w:rsid w:val="00561EA8"/>
    <w:rsid w:val="00561EC0"/>
    <w:rsid w:val="005844E9"/>
    <w:rsid w:val="005A512E"/>
    <w:rsid w:val="005C0862"/>
    <w:rsid w:val="00602625"/>
    <w:rsid w:val="00602DFD"/>
    <w:rsid w:val="00617E42"/>
    <w:rsid w:val="006342BA"/>
    <w:rsid w:val="00680502"/>
    <w:rsid w:val="00697110"/>
    <w:rsid w:val="006A50F1"/>
    <w:rsid w:val="006B5E03"/>
    <w:rsid w:val="006F260D"/>
    <w:rsid w:val="00742357"/>
    <w:rsid w:val="007458E3"/>
    <w:rsid w:val="00781288"/>
    <w:rsid w:val="00842A10"/>
    <w:rsid w:val="00852360"/>
    <w:rsid w:val="00857912"/>
    <w:rsid w:val="008749FD"/>
    <w:rsid w:val="00880791"/>
    <w:rsid w:val="00882214"/>
    <w:rsid w:val="008C30B4"/>
    <w:rsid w:val="008D7F5E"/>
    <w:rsid w:val="009051E3"/>
    <w:rsid w:val="00912904"/>
    <w:rsid w:val="009232CB"/>
    <w:rsid w:val="009659DE"/>
    <w:rsid w:val="00966B65"/>
    <w:rsid w:val="00A331E4"/>
    <w:rsid w:val="00A4134A"/>
    <w:rsid w:val="00A46D9D"/>
    <w:rsid w:val="00A47C52"/>
    <w:rsid w:val="00A76A40"/>
    <w:rsid w:val="00A95D91"/>
    <w:rsid w:val="00AB35FD"/>
    <w:rsid w:val="00AE7466"/>
    <w:rsid w:val="00B0759B"/>
    <w:rsid w:val="00B627C4"/>
    <w:rsid w:val="00B6415D"/>
    <w:rsid w:val="00B73177"/>
    <w:rsid w:val="00BC798F"/>
    <w:rsid w:val="00BD228F"/>
    <w:rsid w:val="00BD4F5D"/>
    <w:rsid w:val="00BE56C3"/>
    <w:rsid w:val="00BF26E3"/>
    <w:rsid w:val="00C3236A"/>
    <w:rsid w:val="00C410FE"/>
    <w:rsid w:val="00C50B8B"/>
    <w:rsid w:val="00C66397"/>
    <w:rsid w:val="00C82664"/>
    <w:rsid w:val="00CA3943"/>
    <w:rsid w:val="00CB4D00"/>
    <w:rsid w:val="00CB6DF4"/>
    <w:rsid w:val="00CD1EA6"/>
    <w:rsid w:val="00CE18FE"/>
    <w:rsid w:val="00D01181"/>
    <w:rsid w:val="00D328C7"/>
    <w:rsid w:val="00D40CE9"/>
    <w:rsid w:val="00D433B7"/>
    <w:rsid w:val="00D518A3"/>
    <w:rsid w:val="00D77ADA"/>
    <w:rsid w:val="00D81DFB"/>
    <w:rsid w:val="00DA5FA2"/>
    <w:rsid w:val="00DA7E1F"/>
    <w:rsid w:val="00DB7423"/>
    <w:rsid w:val="00DF7AAD"/>
    <w:rsid w:val="00E022D8"/>
    <w:rsid w:val="00E153E0"/>
    <w:rsid w:val="00E47964"/>
    <w:rsid w:val="00E74ED5"/>
    <w:rsid w:val="00E93C2A"/>
    <w:rsid w:val="00F06C75"/>
    <w:rsid w:val="00F70746"/>
    <w:rsid w:val="00F82D6E"/>
    <w:rsid w:val="00FA41DE"/>
    <w:rsid w:val="00FF5A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EB9BB"/>
  <w15:chartTrackingRefBased/>
  <w15:docId w15:val="{A9C177B5-960A-4178-A42A-9BDBA7731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0791"/>
  </w:style>
  <w:style w:type="paragraph" w:styleId="Nagwek1">
    <w:name w:val="heading 1"/>
    <w:basedOn w:val="Normalny"/>
    <w:next w:val="Normalny"/>
    <w:link w:val="Nagwek1Znak"/>
    <w:uiPriority w:val="9"/>
    <w:qFormat/>
    <w:rsid w:val="00A413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A413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4134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4134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4134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4134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4134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4134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4134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4134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A4134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4134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4134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4134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4134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4134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4134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4134A"/>
    <w:rPr>
      <w:rFonts w:eastAsiaTheme="majorEastAsia" w:cstheme="majorBidi"/>
      <w:color w:val="272727" w:themeColor="text1" w:themeTint="D8"/>
    </w:rPr>
  </w:style>
  <w:style w:type="paragraph" w:styleId="Tytu">
    <w:name w:val="Title"/>
    <w:basedOn w:val="Normalny"/>
    <w:next w:val="Normalny"/>
    <w:link w:val="TytuZnak"/>
    <w:uiPriority w:val="10"/>
    <w:qFormat/>
    <w:rsid w:val="00A413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4134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4134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4134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4134A"/>
    <w:pPr>
      <w:spacing w:before="160"/>
      <w:jc w:val="center"/>
    </w:pPr>
    <w:rPr>
      <w:i/>
      <w:iCs/>
      <w:color w:val="404040" w:themeColor="text1" w:themeTint="BF"/>
    </w:rPr>
  </w:style>
  <w:style w:type="character" w:customStyle="1" w:styleId="CytatZnak">
    <w:name w:val="Cytat Znak"/>
    <w:basedOn w:val="Domylnaczcionkaakapitu"/>
    <w:link w:val="Cytat"/>
    <w:uiPriority w:val="29"/>
    <w:rsid w:val="00A4134A"/>
    <w:rPr>
      <w:i/>
      <w:iCs/>
      <w:color w:val="404040" w:themeColor="text1" w:themeTint="BF"/>
    </w:rPr>
  </w:style>
  <w:style w:type="paragraph" w:styleId="Akapitzlist">
    <w:name w:val="List Paragraph"/>
    <w:basedOn w:val="Normalny"/>
    <w:uiPriority w:val="34"/>
    <w:qFormat/>
    <w:rsid w:val="00A4134A"/>
    <w:pPr>
      <w:ind w:left="720"/>
      <w:contextualSpacing/>
    </w:pPr>
  </w:style>
  <w:style w:type="character" w:styleId="Wyrnienieintensywne">
    <w:name w:val="Intense Emphasis"/>
    <w:basedOn w:val="Domylnaczcionkaakapitu"/>
    <w:uiPriority w:val="21"/>
    <w:qFormat/>
    <w:rsid w:val="00A4134A"/>
    <w:rPr>
      <w:i/>
      <w:iCs/>
      <w:color w:val="0F4761" w:themeColor="accent1" w:themeShade="BF"/>
    </w:rPr>
  </w:style>
  <w:style w:type="paragraph" w:styleId="Cytatintensywny">
    <w:name w:val="Intense Quote"/>
    <w:basedOn w:val="Normalny"/>
    <w:next w:val="Normalny"/>
    <w:link w:val="CytatintensywnyZnak"/>
    <w:uiPriority w:val="30"/>
    <w:qFormat/>
    <w:rsid w:val="00A413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4134A"/>
    <w:rPr>
      <w:i/>
      <w:iCs/>
      <w:color w:val="0F4761" w:themeColor="accent1" w:themeShade="BF"/>
    </w:rPr>
  </w:style>
  <w:style w:type="character" w:styleId="Odwoanieintensywne">
    <w:name w:val="Intense Reference"/>
    <w:basedOn w:val="Domylnaczcionkaakapitu"/>
    <w:uiPriority w:val="32"/>
    <w:qFormat/>
    <w:rsid w:val="00A4134A"/>
    <w:rPr>
      <w:b/>
      <w:bCs/>
      <w:smallCaps/>
      <w:color w:val="0F4761" w:themeColor="accent1" w:themeShade="BF"/>
      <w:spacing w:val="5"/>
    </w:rPr>
  </w:style>
  <w:style w:type="paragraph" w:styleId="Nagwek">
    <w:name w:val="header"/>
    <w:basedOn w:val="Normalny"/>
    <w:link w:val="NagwekZnak"/>
    <w:uiPriority w:val="99"/>
    <w:unhideWhenUsed/>
    <w:rsid w:val="00A331E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331E4"/>
  </w:style>
  <w:style w:type="paragraph" w:styleId="Stopka">
    <w:name w:val="footer"/>
    <w:basedOn w:val="Normalny"/>
    <w:link w:val="StopkaZnak"/>
    <w:uiPriority w:val="99"/>
    <w:unhideWhenUsed/>
    <w:rsid w:val="00A331E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331E4"/>
  </w:style>
  <w:style w:type="table" w:styleId="Tabela-Siatka">
    <w:name w:val="Table Grid"/>
    <w:basedOn w:val="Standardowy"/>
    <w:uiPriority w:val="39"/>
    <w:rsid w:val="00B731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554659"/>
    <w:rPr>
      <w:sz w:val="16"/>
      <w:szCs w:val="16"/>
    </w:rPr>
  </w:style>
  <w:style w:type="paragraph" w:styleId="Tekstkomentarza">
    <w:name w:val="annotation text"/>
    <w:basedOn w:val="Normalny"/>
    <w:link w:val="TekstkomentarzaZnak"/>
    <w:uiPriority w:val="99"/>
    <w:unhideWhenUsed/>
    <w:rsid w:val="00554659"/>
    <w:pPr>
      <w:spacing w:line="240" w:lineRule="auto"/>
    </w:pPr>
    <w:rPr>
      <w:sz w:val="20"/>
      <w:szCs w:val="20"/>
    </w:rPr>
  </w:style>
  <w:style w:type="character" w:customStyle="1" w:styleId="TekstkomentarzaZnak">
    <w:name w:val="Tekst komentarza Znak"/>
    <w:basedOn w:val="Domylnaczcionkaakapitu"/>
    <w:link w:val="Tekstkomentarza"/>
    <w:uiPriority w:val="99"/>
    <w:rsid w:val="00554659"/>
    <w:rPr>
      <w:sz w:val="20"/>
      <w:szCs w:val="20"/>
    </w:rPr>
  </w:style>
  <w:style w:type="paragraph" w:styleId="Tematkomentarza">
    <w:name w:val="annotation subject"/>
    <w:basedOn w:val="Tekstkomentarza"/>
    <w:next w:val="Tekstkomentarza"/>
    <w:link w:val="TematkomentarzaZnak"/>
    <w:uiPriority w:val="99"/>
    <w:semiHidden/>
    <w:unhideWhenUsed/>
    <w:rsid w:val="00554659"/>
    <w:rPr>
      <w:b/>
      <w:bCs/>
    </w:rPr>
  </w:style>
  <w:style w:type="character" w:customStyle="1" w:styleId="TematkomentarzaZnak">
    <w:name w:val="Temat komentarza Znak"/>
    <w:basedOn w:val="TekstkomentarzaZnak"/>
    <w:link w:val="Tematkomentarza"/>
    <w:uiPriority w:val="99"/>
    <w:semiHidden/>
    <w:rsid w:val="00554659"/>
    <w:rPr>
      <w:b/>
      <w:bCs/>
      <w:sz w:val="20"/>
      <w:szCs w:val="20"/>
    </w:rPr>
  </w:style>
  <w:style w:type="paragraph" w:styleId="Poprawka">
    <w:name w:val="Revision"/>
    <w:hidden/>
    <w:uiPriority w:val="99"/>
    <w:semiHidden/>
    <w:rsid w:val="006026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aa477d8b634ca80f6dc617a9516c751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ffa7402f5f9ed5abfa7b17c2c388e79b"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943200-9DFB-4474-821C-BE42CEF97588}">
  <ds:schemaRefs>
    <ds:schemaRef ds:uri="http://schemas.microsoft.com/sharepoint/v3/contenttype/forms"/>
  </ds:schemaRefs>
</ds:datastoreItem>
</file>

<file path=customXml/itemProps2.xml><?xml version="1.0" encoding="utf-8"?>
<ds:datastoreItem xmlns:ds="http://schemas.openxmlformats.org/officeDocument/2006/customXml" ds:itemID="{06E49F38-5168-446E-8198-E3E11000FF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2D65D3-3932-4649-ACAA-C78E58CFF9B9}">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9</Pages>
  <Words>2906</Words>
  <Characters>19736</Characters>
  <Application>Microsoft Office Word</Application>
  <DocSecurity>0</DocSecurity>
  <Lines>352</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Janas | mjc sp. z o.o.</dc:creator>
  <cp:keywords/>
  <dc:description/>
  <cp:lastModifiedBy>Michał Janas | mjc sp. z o.o.</cp:lastModifiedBy>
  <cp:revision>11</cp:revision>
  <dcterms:created xsi:type="dcterms:W3CDTF">2025-12-18T14:34:00Z</dcterms:created>
  <dcterms:modified xsi:type="dcterms:W3CDTF">2025-12-22T14:24:00Z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